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Microsoft JhengHei" w:hAnsi="Microsoft JhengHei" w:eastAsia="Microsoft JhengHei" w:cs="Microsoft JhengHei"/>
          <w:b/>
          <w:bCs/>
          <w:sz w:val="20"/>
          <w:szCs w:val="20"/>
        </w:rPr>
      </w:pPr>
      <w:bookmarkStart w:id="0" w:name="_bookmark3"/>
      <w:bookmarkEnd w:id="0"/>
    </w:p>
    <w:p>
      <w:pPr>
        <w:keepNext w:val="0"/>
        <w:keepLines w:val="0"/>
        <w:pageBreakBefore w:val="0"/>
        <w:widowControl w:val="0"/>
        <w:kinsoku/>
        <w:wordWrap/>
        <w:overflowPunct/>
        <w:topLinePunct w:val="0"/>
        <w:autoSpaceDE/>
        <w:autoSpaceDN/>
        <w:bidi w:val="0"/>
        <w:adjustRightInd/>
        <w:snapToGrid/>
        <w:spacing w:before="1" w:line="360" w:lineRule="auto"/>
        <w:textAlignment w:val="auto"/>
        <w:rPr>
          <w:rFonts w:hint="default" w:ascii="Microsoft JhengHei" w:hAnsi="Microsoft JhengHei" w:eastAsia="Microsoft JhengHei" w:cs="Microsoft JhengHei"/>
          <w:b/>
          <w:bCs/>
          <w:sz w:val="17"/>
          <w:szCs w:val="17"/>
        </w:rPr>
      </w:pPr>
    </w:p>
    <w:p>
      <w:pPr>
        <w:keepNext w:val="0"/>
        <w:keepLines w:val="0"/>
        <w:pageBreakBefore w:val="0"/>
        <w:widowControl w:val="0"/>
        <w:kinsoku/>
        <w:wordWrap/>
        <w:overflowPunct/>
        <w:topLinePunct w:val="0"/>
        <w:autoSpaceDE/>
        <w:autoSpaceDN/>
        <w:bidi w:val="0"/>
        <w:adjustRightInd/>
        <w:snapToGrid/>
        <w:spacing w:line="360" w:lineRule="auto"/>
        <w:ind w:left="496" w:right="0" w:firstLine="0"/>
        <w:textAlignment w:val="auto"/>
        <w:rPr>
          <w:rFonts w:hint="default" w:ascii="Microsoft JhengHei" w:hAnsi="Microsoft JhengHei" w:eastAsia="Microsoft JhengHei" w:cs="Microsoft JhengHei"/>
          <w:sz w:val="20"/>
          <w:szCs w:val="20"/>
        </w:rPr>
      </w:pPr>
      <w:r>
        <w:rPr>
          <w:rFonts w:hint="default" w:ascii="Microsoft JhengHei" w:hAnsi="Microsoft JhengHei" w:eastAsia="Microsoft JhengHei" w:cs="Microsoft JhengHei"/>
          <w:position w:val="-26"/>
          <w:sz w:val="20"/>
          <w:szCs w:val="20"/>
        </w:rPr>
        <w:drawing>
          <wp:inline distT="0" distB="0" distL="0" distR="0">
            <wp:extent cx="5309870" cy="8420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5309989" cy="842391"/>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65" w:line="360" w:lineRule="auto"/>
        <w:ind w:left="990" w:right="1153" w:firstLine="0"/>
        <w:jc w:val="center"/>
        <w:textAlignment w:val="auto"/>
        <w:rPr>
          <w:rFonts w:hint="default" w:ascii="宋体" w:hAnsi="宋体" w:eastAsia="宋体" w:cs="宋体"/>
          <w:sz w:val="32"/>
          <w:szCs w:val="32"/>
        </w:rPr>
      </w:pPr>
      <w:r>
        <w:rPr>
          <w:rFonts w:hint="default" w:ascii="宋体" w:hAnsi="宋体" w:eastAsia="宋体" w:cs="宋体"/>
          <w:sz w:val="32"/>
          <w:szCs w:val="32"/>
        </w:rPr>
        <w:t>团发〔2018〕6号</w:t>
      </w:r>
    </w:p>
    <w:p>
      <w:pPr>
        <w:keepNext w:val="0"/>
        <w:keepLines w:val="0"/>
        <w:pageBreakBefore w:val="0"/>
        <w:widowControl w:val="0"/>
        <w:kinsoku/>
        <w:wordWrap/>
        <w:overflowPunct/>
        <w:topLinePunct w:val="0"/>
        <w:autoSpaceDE/>
        <w:autoSpaceDN/>
        <w:bidi w:val="0"/>
        <w:adjustRightInd/>
        <w:snapToGrid/>
        <w:spacing w:before="3" w:line="360" w:lineRule="auto"/>
        <w:textAlignment w:val="auto"/>
        <w:rPr>
          <w:rFonts w:hint="default" w:ascii="宋体" w:hAnsi="宋体" w:eastAsia="宋体" w:cs="宋体"/>
          <w:sz w:val="11"/>
          <w:szCs w:val="11"/>
        </w:rPr>
      </w:pPr>
    </w:p>
    <w:p>
      <w:pPr>
        <w:keepNext w:val="0"/>
        <w:keepLines w:val="0"/>
        <w:pageBreakBefore w:val="0"/>
        <w:widowControl w:val="0"/>
        <w:kinsoku/>
        <w:wordWrap/>
        <w:overflowPunct/>
        <w:topLinePunct w:val="0"/>
        <w:autoSpaceDE/>
        <w:autoSpaceDN/>
        <w:bidi w:val="0"/>
        <w:adjustRightInd/>
        <w:snapToGrid/>
        <w:spacing w:line="360" w:lineRule="auto"/>
        <w:ind w:left="472" w:right="0" w:firstLine="0"/>
        <w:textAlignment w:val="auto"/>
        <w:rPr>
          <w:rFonts w:hint="default" w:ascii="宋体" w:hAnsi="宋体" w:eastAsia="宋体" w:cs="宋体"/>
          <w:sz w:val="2"/>
          <w:szCs w:val="2"/>
        </w:rPr>
      </w:pPr>
      <w:r>
        <w:rPr>
          <w:rFonts w:hint="default" w:ascii="宋体" w:hAnsi="宋体" w:eastAsia="宋体" w:cs="宋体"/>
          <w:sz w:val="2"/>
          <w:szCs w:val="2"/>
        </w:rPr>
        <mc:AlternateContent>
          <mc:Choice Requires="wpg">
            <w:drawing>
              <wp:inline distT="0" distB="0" distL="114300" distR="114300">
                <wp:extent cx="5267325" cy="9525"/>
                <wp:effectExtent l="0" t="0" r="0" b="0"/>
                <wp:docPr id="5" name="组合 2"/>
                <wp:cNvGraphicFramePr/>
                <a:graphic xmlns:a="http://schemas.openxmlformats.org/drawingml/2006/main">
                  <a:graphicData uri="http://schemas.microsoft.com/office/word/2010/wordprocessingGroup">
                    <wpg:wgp>
                      <wpg:cNvGrpSpPr/>
                      <wpg:grpSpPr>
                        <a:xfrm>
                          <a:off x="0" y="0"/>
                          <a:ext cx="5267325" cy="9525"/>
                          <a:chOff x="0" y="0"/>
                          <a:chExt cx="8295" cy="15"/>
                        </a:xfrm>
                      </wpg:grpSpPr>
                      <wpg:grpSp>
                        <wpg:cNvPr id="4" name="组合 3"/>
                        <wpg:cNvGrpSpPr/>
                        <wpg:grpSpPr>
                          <a:xfrm>
                            <a:off x="7" y="7"/>
                            <a:ext cx="8280" cy="2"/>
                            <a:chOff x="7" y="7"/>
                            <a:chExt cx="8280" cy="2"/>
                          </a:xfrm>
                        </wpg:grpSpPr>
                        <wps:wsp>
                          <wps:cNvPr id="2" name="任意多边形 4"/>
                          <wps:cNvSpPr/>
                          <wps:spPr>
                            <a:xfrm>
                              <a:off x="7" y="7"/>
                              <a:ext cx="8280" cy="2"/>
                            </a:xfrm>
                            <a:custGeom>
                              <a:avLst/>
                              <a:gdLst/>
                              <a:ahLst/>
                              <a:cxnLst/>
                              <a:pathLst>
                                <a:path w="8280">
                                  <a:moveTo>
                                    <a:pt x="0" y="0"/>
                                  </a:moveTo>
                                  <a:lnTo>
                                    <a:pt x="8280" y="0"/>
                                  </a:lnTo>
                                </a:path>
                              </a:pathLst>
                            </a:custGeom>
                            <a:noFill/>
                            <a:ln w="9144" cap="flat" cmpd="sng">
                              <a:solidFill>
                                <a:srgbClr val="000000"/>
                              </a:solidFill>
                              <a:prstDash val="solid"/>
                              <a:headEnd type="none" w="med" len="med"/>
                              <a:tailEnd type="none" w="med" len="med"/>
                            </a:ln>
                          </wps:spPr>
                          <wps:bodyPr upright="1"/>
                        </wps:wsp>
                      </wpg:grpSp>
                    </wpg:wgp>
                  </a:graphicData>
                </a:graphic>
              </wp:inline>
            </w:drawing>
          </mc:Choice>
          <mc:Fallback>
            <w:pict>
              <v:group id="组合 2" o:spid="_x0000_s1026" o:spt="203" style="height:0.75pt;width:414.75pt;" coordsize="8295,15" o:gfxdata="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Va25x1AAAAAMBAAAPAAAAAAAAAAEAIAAAACIAAABkcnMvZG93bnJldi54bWxQSwECFAAUAAAA&#10;CACHTuJAiGYlEJ0CAAB6BgAADgAAAAAAAAABACAAAAAjAQAAZHJzL2Uyb0RvYy54bWxQSwUGAAAA&#10;AAYABgBZAQAAMgYAAAAA&#10;">
                <o:lock v:ext="edit" aspectratio="f"/>
                <v:group id="组合 3" o:spid="_x0000_s1026" o:spt="203" style="position:absolute;left:7;top:7;height:2;width:8280;" coordorigin="7,7" coordsize="8280,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4" o:spid="_x0000_s1026" o:spt="100" style="position:absolute;left:7;top:7;height:2;width:8280;" filled="f" stroked="t" coordsize="8280,1" o:gfxdata="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A1irsAAADa&#10;AAAADwAAAAAAAAABACAAAAAiAAAAZHJzL2Rvd25yZXYueG1sUEsBAhQAFAAAAAgAh07iQDMvBZ47&#10;AAAAOQAAABAAAAAAAAAAAQAgAAAACgEAAGRycy9zaGFwZXhtbC54bWxQSwUGAAAAAAYABgBbAQAA&#10;tAMAAAAA&#10;" path="m0,0l8280,0e">
                    <v:fill on="f" focussize="0,0"/>
                    <v:stroke weight="0.72pt" color="#000000" joinstyle="round"/>
                    <v:imagedata o:title=""/>
                    <o:lock v:ext="edit" aspectratio="f"/>
                  </v:shape>
                </v:group>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before="5" w:line="360" w:lineRule="auto"/>
        <w:textAlignment w:val="auto"/>
        <w:rPr>
          <w:rFonts w:hint="default" w:ascii="宋体" w:hAnsi="宋体" w:eastAsia="宋体" w:cs="宋体"/>
          <w:sz w:val="25"/>
          <w:szCs w:val="25"/>
        </w:rPr>
      </w:pPr>
    </w:p>
    <w:p>
      <w:pPr>
        <w:keepNext w:val="0"/>
        <w:keepLines w:val="0"/>
        <w:pageBreakBefore w:val="0"/>
        <w:widowControl w:val="0"/>
        <w:kinsoku/>
        <w:wordWrap/>
        <w:overflowPunct/>
        <w:topLinePunct w:val="0"/>
        <w:autoSpaceDE/>
        <w:autoSpaceDN/>
        <w:bidi w:val="0"/>
        <w:adjustRightInd/>
        <w:snapToGrid/>
        <w:spacing w:before="0" w:line="360" w:lineRule="auto"/>
        <w:ind w:left="1012" w:right="1151" w:firstLine="0"/>
        <w:jc w:val="center"/>
        <w:textAlignment w:val="auto"/>
        <w:rPr>
          <w:rFonts w:hint="default" w:ascii="Microsoft JhengHei" w:hAnsi="Microsoft JhengHei" w:eastAsia="Microsoft JhengHei" w:cs="Microsoft JhengHei"/>
          <w:sz w:val="36"/>
          <w:szCs w:val="36"/>
        </w:rPr>
      </w:pPr>
      <w:r>
        <w:rPr>
          <w:rFonts w:hint="default" w:ascii="Microsoft JhengHei" w:hAnsi="Microsoft JhengHei" w:eastAsia="Microsoft JhengHei" w:cs="Microsoft JhengHei"/>
          <w:b/>
          <w:bCs/>
          <w:sz w:val="36"/>
          <w:szCs w:val="36"/>
        </w:rPr>
        <w:t>南京信息工程大学</w:t>
      </w:r>
    </w:p>
    <w:p>
      <w:pPr>
        <w:keepNext w:val="0"/>
        <w:keepLines w:val="0"/>
        <w:pageBreakBefore w:val="0"/>
        <w:widowControl w:val="0"/>
        <w:kinsoku/>
        <w:wordWrap/>
        <w:overflowPunct/>
        <w:topLinePunct w:val="0"/>
        <w:autoSpaceDE/>
        <w:autoSpaceDN/>
        <w:bidi w:val="0"/>
        <w:adjustRightInd/>
        <w:snapToGrid/>
        <w:spacing w:before="0" w:line="360" w:lineRule="auto"/>
        <w:ind w:left="1012" w:right="1151" w:firstLine="0"/>
        <w:jc w:val="center"/>
        <w:textAlignment w:val="auto"/>
        <w:rPr>
          <w:rFonts w:hint="default" w:ascii="Microsoft JhengHei" w:hAnsi="Microsoft JhengHei" w:eastAsia="Microsoft JhengHei" w:cs="Microsoft JhengHei"/>
          <w:b/>
          <w:bCs/>
          <w:sz w:val="25"/>
          <w:szCs w:val="25"/>
        </w:rPr>
      </w:pPr>
      <w:bookmarkStart w:id="3" w:name="_GoBack"/>
      <w:r>
        <w:rPr>
          <w:rFonts w:hint="default" w:ascii="Microsoft JhengHei" w:hAnsi="Microsoft JhengHei" w:eastAsia="Microsoft JhengHei" w:cs="Microsoft JhengHei"/>
          <w:b/>
          <w:bCs/>
          <w:sz w:val="36"/>
          <w:szCs w:val="36"/>
        </w:rPr>
        <w:t>关于实施“第二课堂成绩单”制度的通知</w:t>
      </w:r>
    </w:p>
    <w:bookmarkEnd w:id="3"/>
    <w:p>
      <w:pPr>
        <w:pStyle w:val="6"/>
        <w:keepNext w:val="0"/>
        <w:keepLines w:val="0"/>
        <w:pageBreakBefore w:val="0"/>
        <w:widowControl w:val="0"/>
        <w:kinsoku/>
        <w:wordWrap/>
        <w:overflowPunct/>
        <w:topLinePunct w:val="0"/>
        <w:autoSpaceDE/>
        <w:autoSpaceDN/>
        <w:bidi w:val="0"/>
        <w:adjustRightInd/>
        <w:snapToGrid/>
        <w:spacing w:line="360" w:lineRule="auto"/>
        <w:ind w:right="363"/>
        <w:jc w:val="left"/>
        <w:textAlignment w:val="auto"/>
      </w:pPr>
      <w:r>
        <w:t>各单位：</w:t>
      </w:r>
    </w:p>
    <w:p>
      <w:pPr>
        <w:pStyle w:val="6"/>
        <w:keepNext w:val="0"/>
        <w:keepLines w:val="0"/>
        <w:pageBreakBefore w:val="0"/>
        <w:widowControl w:val="0"/>
        <w:kinsoku/>
        <w:wordWrap/>
        <w:overflowPunct/>
        <w:topLinePunct w:val="0"/>
        <w:autoSpaceDE/>
        <w:autoSpaceDN/>
        <w:bidi w:val="0"/>
        <w:adjustRightInd/>
        <w:snapToGrid/>
        <w:spacing w:before="154" w:line="360" w:lineRule="auto"/>
        <w:ind w:right="72" w:firstLine="479"/>
        <w:jc w:val="left"/>
        <w:textAlignment w:val="auto"/>
      </w:pPr>
      <w:r>
        <w:t>为深入贯彻落实党的十九大精神和习近平新时代中国特色社会主义思想，持续贯彻落实全国高校思想政治工作会议精神，依据共青团中央、教育部《高校共青团改革实施</w:t>
      </w:r>
      <w:r>
        <w:rPr>
          <w:spacing w:val="-11"/>
        </w:rPr>
        <w:t>方案》和教育部、共青团中央等七部门《关于进一步加强高校实践育人工作的若干意见》，</w:t>
      </w:r>
      <w:r>
        <w:rPr>
          <w:spacing w:val="-8"/>
        </w:rPr>
        <w:t>根据《共青团南京信息工程大学委员会改革方案》，进一步深化“第二课堂”建设，强化</w:t>
      </w:r>
      <w:r>
        <w:t>实践育人工作，提高人才培养质量，推进我校国家“双一流”高校建设和江苏高水平大学建设，经校长办公会通过，从我校</w:t>
      </w:r>
      <w:r>
        <w:rPr>
          <w:rFonts w:hint="default" w:ascii="Calibri" w:hAnsi="Calibri" w:eastAsia="Calibri" w:cs="Calibri"/>
        </w:rPr>
        <w:t>2018</w:t>
      </w:r>
      <w:r>
        <w:t>级新生（暂不包括中外联合培养学生与滨江</w:t>
      </w:r>
    </w:p>
    <w:p>
      <w:pPr>
        <w:pStyle w:val="6"/>
        <w:keepNext w:val="0"/>
        <w:keepLines w:val="0"/>
        <w:pageBreakBefore w:val="0"/>
        <w:widowControl w:val="0"/>
        <w:kinsoku/>
        <w:wordWrap/>
        <w:overflowPunct/>
        <w:topLinePunct w:val="0"/>
        <w:autoSpaceDE/>
        <w:autoSpaceDN/>
        <w:bidi w:val="0"/>
        <w:adjustRightInd/>
        <w:snapToGrid/>
        <w:spacing w:line="360" w:lineRule="auto"/>
        <w:ind w:right="363"/>
        <w:jc w:val="left"/>
        <w:textAlignment w:val="auto"/>
      </w:pPr>
      <w:r>
        <w:t>学院学生）开始，实施“第二课堂成绩单”制度，并做如下要求。</w:t>
      </w:r>
    </w:p>
    <w:p>
      <w:pPr>
        <w:pStyle w:val="6"/>
        <w:keepNext w:val="0"/>
        <w:keepLines w:val="0"/>
        <w:pageBreakBefore w:val="0"/>
        <w:widowControl w:val="0"/>
        <w:kinsoku/>
        <w:wordWrap/>
        <w:overflowPunct/>
        <w:topLinePunct w:val="0"/>
        <w:autoSpaceDE/>
        <w:autoSpaceDN/>
        <w:bidi w:val="0"/>
        <w:adjustRightInd/>
        <w:snapToGrid/>
        <w:spacing w:before="154" w:line="360" w:lineRule="auto"/>
        <w:ind w:right="363"/>
        <w:jc w:val="left"/>
        <w:textAlignment w:val="auto"/>
      </w:pPr>
      <w:r>
        <w:t>一、充分认识，强化观念</w:t>
      </w:r>
    </w:p>
    <w:p>
      <w:pPr>
        <w:pStyle w:val="6"/>
        <w:keepNext w:val="0"/>
        <w:keepLines w:val="0"/>
        <w:pageBreakBefore w:val="0"/>
        <w:widowControl w:val="0"/>
        <w:kinsoku/>
        <w:wordWrap/>
        <w:overflowPunct/>
        <w:topLinePunct w:val="0"/>
        <w:autoSpaceDE/>
        <w:autoSpaceDN/>
        <w:bidi w:val="0"/>
        <w:adjustRightInd/>
        <w:snapToGrid/>
        <w:spacing w:before="154" w:line="360" w:lineRule="auto"/>
        <w:ind w:right="111" w:firstLine="479"/>
        <w:jc w:val="both"/>
        <w:textAlignment w:val="auto"/>
      </w:pPr>
      <w:r>
        <w:rPr>
          <w:rFonts w:hint="default" w:ascii="Calibri" w:hAnsi="Calibri" w:eastAsia="Calibri" w:cs="Calibri"/>
        </w:rPr>
        <w:t>1.</w:t>
      </w:r>
      <w:r>
        <w:t>实施“第二课堂成绩单”制度是全面贯彻落实全国思想政治工作会议精神，强化实践育人，提高人才培养质量的必然要求。习近平总书记在全国高校思想政治工作会议</w:t>
      </w:r>
      <w:r>
        <w:rPr>
          <w:spacing w:val="-8"/>
        </w:rPr>
        <w:t>上强调，“要重视和加强第二课堂建设，重视实践育人，坚持教育同生产劳动和社会实践</w:t>
      </w:r>
      <w:r>
        <w:t>相结合，广泛开展各类社会实践，让学生在亲身参与中认识国情、了解社会，受教育、</w:t>
      </w:r>
      <w:r>
        <w:rPr>
          <w:spacing w:val="-8"/>
        </w:rPr>
        <w:t>长才干。”第二课堂对培养学生创新创业，开发学生的开放思维、全面提升综合素质具有</w:t>
      </w:r>
      <w:r>
        <w:t>重要推动作用，是第一课堂的有机补充和重要支撑。</w:t>
      </w:r>
    </w:p>
    <w:p>
      <w:pPr>
        <w:pStyle w:val="6"/>
        <w:keepNext w:val="0"/>
        <w:keepLines w:val="0"/>
        <w:pageBreakBefore w:val="0"/>
        <w:widowControl w:val="0"/>
        <w:kinsoku/>
        <w:wordWrap/>
        <w:overflowPunct/>
        <w:topLinePunct w:val="0"/>
        <w:autoSpaceDE/>
        <w:autoSpaceDN/>
        <w:bidi w:val="0"/>
        <w:adjustRightInd/>
        <w:snapToGrid/>
        <w:spacing w:before="36" w:line="360" w:lineRule="auto"/>
        <w:ind w:right="116" w:firstLine="479"/>
        <w:jc w:val="both"/>
        <w:textAlignment w:val="auto"/>
      </w:pPr>
      <w:r>
        <w:rPr>
          <w:rFonts w:hint="default" w:ascii="Calibri" w:hAnsi="Calibri" w:eastAsia="Calibri" w:cs="Calibri"/>
        </w:rPr>
        <w:t>2.</w:t>
      </w:r>
      <w:r>
        <w:t>实施“第二课堂成绩单”制度是促进学校深化改革，建设“双一流”大学和江苏高水平大学的必然要求。高校的根本任务是培养人才，坚持教育与实践相结合是人才培养的重要内容。实施“第二课堂成绩单”制度能够倒逼学校实践育人工作的转型升级，</w:t>
      </w:r>
      <w:r>
        <w:rPr>
          <w:spacing w:val="-2"/>
        </w:rPr>
        <w:t>推进工作的科学化、标准化、系统化建设，形成实践育人合力，构建长效机制，推动我</w:t>
      </w:r>
      <w:r>
        <w:t>校实践育人工作取得新成效、开创新局面。</w:t>
      </w:r>
    </w:p>
    <w:p>
      <w:pPr>
        <w:pStyle w:val="6"/>
        <w:keepNext w:val="0"/>
        <w:keepLines w:val="0"/>
        <w:pageBreakBefore w:val="0"/>
        <w:widowControl w:val="0"/>
        <w:kinsoku/>
        <w:wordWrap/>
        <w:overflowPunct/>
        <w:topLinePunct w:val="0"/>
        <w:autoSpaceDE/>
        <w:autoSpaceDN/>
        <w:bidi w:val="0"/>
        <w:adjustRightInd/>
        <w:snapToGrid/>
        <w:spacing w:before="36" w:line="360" w:lineRule="auto"/>
        <w:ind w:right="116" w:firstLine="360"/>
        <w:jc w:val="both"/>
        <w:textAlignment w:val="auto"/>
      </w:pPr>
      <w:r>
        <w:rPr>
          <w:rFonts w:hint="default" w:ascii="Calibri" w:hAnsi="Calibri" w:eastAsia="Calibri" w:cs="Calibri"/>
          <w:spacing w:val="-10"/>
        </w:rPr>
        <w:t>3.</w:t>
      </w:r>
      <w:r>
        <w:rPr>
          <w:spacing w:val="-10"/>
        </w:rPr>
        <w:t>实施“第二课堂成绩单”制度是“笃行以生为本，厚植大学精神”的必然选择。“第</w:t>
      </w:r>
      <w:r>
        <w:t>二课堂成绩单”制度真实、客观地记录学生在校期间参加第二课堂的各项活动、社会工作等情况和取得的成绩，对学生的综合表现进行专业化的准确评价，帮助学生正确了解自身优势、弥补自身不足，促进学生成长成才。通过网络平台对大数据进行收集分析，</w:t>
      </w:r>
    </w:p>
    <w:p>
      <w:pPr>
        <w:pStyle w:val="6"/>
        <w:keepNext w:val="0"/>
        <w:keepLines w:val="0"/>
        <w:pageBreakBefore w:val="0"/>
        <w:widowControl w:val="0"/>
        <w:kinsoku/>
        <w:wordWrap/>
        <w:overflowPunct/>
        <w:topLinePunct w:val="0"/>
        <w:autoSpaceDE/>
        <w:autoSpaceDN/>
        <w:bidi w:val="0"/>
        <w:adjustRightInd/>
        <w:snapToGrid/>
        <w:spacing w:before="46" w:line="360" w:lineRule="auto"/>
        <w:ind w:right="231"/>
        <w:jc w:val="both"/>
        <w:textAlignment w:val="auto"/>
      </w:pPr>
      <w:r>
        <w:rPr>
          <w:spacing w:val="-2"/>
        </w:rPr>
        <w:t>为学校党政决策、人才培养方案完善提供科学依据。搭建学生、学校、社会三者之间的</w:t>
      </w:r>
      <w:r>
        <w:t>有效连接平台，为社会用人单位选人、用人提供科学参考。</w:t>
      </w:r>
    </w:p>
    <w:p>
      <w:pPr>
        <w:pStyle w:val="6"/>
        <w:keepNext w:val="0"/>
        <w:keepLines w:val="0"/>
        <w:pageBreakBefore w:val="0"/>
        <w:widowControl w:val="0"/>
        <w:kinsoku/>
        <w:wordWrap/>
        <w:overflowPunct/>
        <w:topLinePunct w:val="0"/>
        <w:autoSpaceDE/>
        <w:autoSpaceDN/>
        <w:bidi w:val="0"/>
        <w:adjustRightInd/>
        <w:snapToGrid/>
        <w:spacing w:before="36" w:line="360" w:lineRule="auto"/>
        <w:ind w:right="0"/>
        <w:jc w:val="both"/>
        <w:textAlignment w:val="auto"/>
      </w:pPr>
      <w:r>
        <w:t>二、强化领导，优化组织</w:t>
      </w:r>
    </w:p>
    <w:p>
      <w:pPr>
        <w:pStyle w:val="6"/>
        <w:keepNext w:val="0"/>
        <w:keepLines w:val="0"/>
        <w:pageBreakBefore w:val="0"/>
        <w:widowControl w:val="0"/>
        <w:kinsoku/>
        <w:wordWrap/>
        <w:overflowPunct/>
        <w:topLinePunct w:val="0"/>
        <w:autoSpaceDE/>
        <w:autoSpaceDN/>
        <w:bidi w:val="0"/>
        <w:adjustRightInd/>
        <w:snapToGrid/>
        <w:spacing w:before="60" w:line="360" w:lineRule="auto"/>
        <w:ind w:right="72" w:firstLine="360"/>
        <w:jc w:val="left"/>
        <w:textAlignment w:val="auto"/>
      </w:pPr>
      <w:r>
        <w:rPr>
          <w:rFonts w:hint="default" w:ascii="Calibri" w:hAnsi="Calibri" w:eastAsia="Calibri" w:cs="Calibri"/>
          <w:spacing w:val="-3"/>
        </w:rPr>
        <w:t>1.</w:t>
      </w:r>
      <w:r>
        <w:rPr>
          <w:spacing w:val="-3"/>
        </w:rPr>
        <w:t>加强领导，形成合力。学校成立“第二课堂成绩单”实施领导小组，由分管学生工</w:t>
      </w:r>
      <w:r>
        <w:t>作的副书记任组长，宣传部、教务处、科技处、社科处、学工处、校团委等相关单位负责人任副组长，各学院分管学生副书记任成员。负责学校“第二课堂成绩单”制度实施细则的制定、完善，并监督实施，裁决学生对参与第二课堂活动认定情况的申诉。领导小组办公室设在校团委，负责全校本科生“第二课堂成绩单”的管理、审定，活动的统筹规划、指导、监督、考评和网络系统管理培训等工作。学院成立“第二课堂成绩单”制度实施工作领导小组，由学院分管学生工作的负责人任组长，团委（总支）书记和专</w:t>
      </w:r>
    </w:p>
    <w:p>
      <w:pPr>
        <w:pStyle w:val="6"/>
        <w:keepNext w:val="0"/>
        <w:keepLines w:val="0"/>
        <w:pageBreakBefore w:val="0"/>
        <w:widowControl w:val="0"/>
        <w:kinsoku/>
        <w:wordWrap/>
        <w:overflowPunct/>
        <w:topLinePunct w:val="0"/>
        <w:autoSpaceDE/>
        <w:autoSpaceDN/>
        <w:bidi w:val="0"/>
        <w:adjustRightInd/>
        <w:snapToGrid/>
        <w:spacing w:before="94" w:line="360" w:lineRule="auto"/>
        <w:ind w:right="232"/>
        <w:jc w:val="both"/>
        <w:textAlignment w:val="auto"/>
      </w:pPr>
      <w:r>
        <w:rPr>
          <w:spacing w:val="-2"/>
        </w:rPr>
        <w:t>职辅导员为成员，负责推动学院“第二课堂成绩单”制度的实施和学生“第二课堂成绩单”管理、审核、认定等工作。各相关单位要高度重视，统筹安排，形成合力，抓好落</w:t>
      </w:r>
      <w:r>
        <w:t>实，确保“第二课堂成绩单”制度的顺利实施。</w:t>
      </w:r>
    </w:p>
    <w:p>
      <w:pPr>
        <w:pStyle w:val="6"/>
        <w:keepNext w:val="0"/>
        <w:keepLines w:val="0"/>
        <w:pageBreakBefore w:val="0"/>
        <w:widowControl w:val="0"/>
        <w:kinsoku/>
        <w:wordWrap/>
        <w:overflowPunct/>
        <w:topLinePunct w:val="0"/>
        <w:autoSpaceDE/>
        <w:autoSpaceDN/>
        <w:bidi w:val="0"/>
        <w:adjustRightInd/>
        <w:snapToGrid/>
        <w:spacing w:before="36" w:line="360" w:lineRule="auto"/>
        <w:ind w:right="231" w:firstLine="360"/>
        <w:jc w:val="both"/>
        <w:textAlignment w:val="auto"/>
      </w:pPr>
      <w:r>
        <w:rPr>
          <w:rFonts w:hint="default" w:ascii="Calibri" w:hAnsi="Calibri" w:eastAsia="Calibri" w:cs="Calibri"/>
          <w:spacing w:val="-4"/>
        </w:rPr>
        <w:t>2.</w:t>
      </w:r>
      <w:r>
        <w:rPr>
          <w:spacing w:val="-4"/>
        </w:rPr>
        <w:t>扩大宣传，注重总结。广泛开展宣传培训活动，在新生入学通知材料当中加入第二</w:t>
      </w:r>
      <w:r>
        <w:rPr>
          <w:spacing w:val="-2"/>
        </w:rPr>
        <w:t>课堂成绩单宣传材料，引导师生充分认识实施“第二课堂成绩单”制度对深入推进实践育人工作的重要性和必要性。积极宣传推广实施过程中的新思路、新做法、新经验，在全校形成重视第二课堂建设，重视实践育人工作的良好局面，激发学生参与第二课堂的</w:t>
      </w:r>
    </w:p>
    <w:p>
      <w:pPr>
        <w:pStyle w:val="6"/>
        <w:keepNext w:val="0"/>
        <w:keepLines w:val="0"/>
        <w:pageBreakBefore w:val="0"/>
        <w:widowControl w:val="0"/>
        <w:kinsoku/>
        <w:wordWrap/>
        <w:overflowPunct/>
        <w:topLinePunct w:val="0"/>
        <w:autoSpaceDE/>
        <w:autoSpaceDN/>
        <w:bidi w:val="0"/>
        <w:adjustRightInd/>
        <w:snapToGrid/>
        <w:spacing w:before="46" w:line="360" w:lineRule="auto"/>
        <w:ind w:right="231"/>
        <w:jc w:val="both"/>
        <w:textAlignment w:val="auto"/>
        <w:rPr>
          <w:rFonts w:hint="default" w:ascii="宋体" w:hAnsi="宋体" w:eastAsia="宋体" w:cs="宋体"/>
          <w:sz w:val="26"/>
          <w:szCs w:val="26"/>
        </w:rPr>
      </w:pPr>
      <w:r>
        <w:rPr>
          <w:spacing w:val="-2"/>
        </w:rPr>
        <w:t>积极性和主动性。各学院要结合学院工作实际，在把握和遵循基本原则的基础上，发挥</w:t>
      </w:r>
      <w:r>
        <w:rPr>
          <w:spacing w:val="-8"/>
        </w:rPr>
        <w:t>主观能动性，强化阵地建设，探索“第二课堂成绩单”制度的新规律、新实践、新做法，</w:t>
      </w:r>
      <w:r>
        <w:t>努力形成可传播、能复制、易借鉴的成果案例经验。</w:t>
      </w:r>
    </w:p>
    <w:p>
      <w:pPr>
        <w:pStyle w:val="6"/>
        <w:keepNext w:val="0"/>
        <w:keepLines w:val="0"/>
        <w:pageBreakBefore w:val="0"/>
        <w:widowControl w:val="0"/>
        <w:kinsoku/>
        <w:wordWrap/>
        <w:overflowPunct/>
        <w:topLinePunct w:val="0"/>
        <w:autoSpaceDE/>
        <w:autoSpaceDN/>
        <w:bidi w:val="0"/>
        <w:adjustRightInd/>
        <w:snapToGrid/>
        <w:spacing w:line="360" w:lineRule="auto"/>
        <w:ind w:left="0" w:right="233"/>
        <w:jc w:val="right"/>
        <w:textAlignment w:val="auto"/>
      </w:pPr>
      <w:r>
        <w:t>共青团南京信息工程大学委员会</w:t>
      </w:r>
    </w:p>
    <w:p>
      <w:pPr>
        <w:pStyle w:val="6"/>
        <w:keepNext w:val="0"/>
        <w:keepLines w:val="0"/>
        <w:pageBreakBefore w:val="0"/>
        <w:widowControl w:val="0"/>
        <w:kinsoku/>
        <w:wordWrap/>
        <w:overflowPunct/>
        <w:topLinePunct w:val="0"/>
        <w:autoSpaceDE/>
        <w:autoSpaceDN/>
        <w:bidi w:val="0"/>
        <w:adjustRightInd/>
        <w:snapToGrid/>
        <w:spacing w:before="154" w:line="360" w:lineRule="auto"/>
        <w:ind w:left="0" w:right="232"/>
        <w:jc w:val="right"/>
        <w:textAlignment w:val="auto"/>
      </w:pPr>
      <w:r>
        <w:rPr>
          <w:rFonts w:hint="default" w:ascii="Calibri" w:hAnsi="Calibri" w:eastAsia="Calibri" w:cs="Calibri"/>
        </w:rPr>
        <w:t>2018</w:t>
      </w:r>
      <w:r>
        <w:t>年</w:t>
      </w:r>
      <w:r>
        <w:rPr>
          <w:rFonts w:hint="default" w:ascii="Calibri" w:hAnsi="Calibri" w:eastAsia="Calibri" w:cs="Calibri"/>
        </w:rPr>
        <w:t>7</w:t>
      </w:r>
      <w:r>
        <w:t>月</w:t>
      </w:r>
      <w:r>
        <w:rPr>
          <w:rFonts w:hint="default" w:ascii="Calibri" w:hAnsi="Calibri" w:eastAsia="Calibri" w:cs="Calibri"/>
        </w:rPr>
        <w:t>2</w:t>
      </w:r>
      <w:r>
        <w:t>日</w:t>
      </w:r>
    </w:p>
    <w:p>
      <w:pPr>
        <w:keepNext w:val="0"/>
        <w:keepLines w:val="0"/>
        <w:pageBreakBefore w:val="0"/>
        <w:widowControl w:val="0"/>
        <w:kinsoku/>
        <w:wordWrap/>
        <w:overflowPunct/>
        <w:topLinePunct w:val="0"/>
        <w:autoSpaceDE/>
        <w:autoSpaceDN/>
        <w:bidi w:val="0"/>
        <w:adjustRightInd/>
        <w:snapToGrid/>
        <w:spacing w:after="0" w:line="360" w:lineRule="auto"/>
        <w:jc w:val="right"/>
        <w:textAlignment w:val="auto"/>
        <w:sectPr>
          <w:footerReference r:id="rId3" w:type="default"/>
          <w:pgSz w:w="11910" w:h="16840"/>
          <w:pgMar w:top="1000" w:right="1040" w:bottom="1440" w:left="1460" w:header="0" w:footer="1246" w:gutter="0"/>
        </w:sectPr>
      </w:pPr>
    </w:p>
    <w:p>
      <w:pPr>
        <w:keepNext w:val="0"/>
        <w:keepLines w:val="0"/>
        <w:pageBreakBefore w:val="0"/>
        <w:widowControl w:val="0"/>
        <w:kinsoku/>
        <w:wordWrap/>
        <w:overflowPunct/>
        <w:topLinePunct w:val="0"/>
        <w:autoSpaceDE/>
        <w:autoSpaceDN/>
        <w:bidi w:val="0"/>
        <w:adjustRightInd/>
        <w:snapToGrid/>
        <w:spacing w:before="13" w:line="360" w:lineRule="auto"/>
        <w:textAlignment w:val="auto"/>
        <w:rPr>
          <w:rFonts w:hint="default" w:ascii="Microsoft JhengHei" w:hAnsi="Microsoft JhengHei" w:eastAsia="Microsoft JhengHei" w:cs="Microsoft JhengHei"/>
          <w:b/>
          <w:bCs/>
          <w:sz w:val="26"/>
          <w:szCs w:val="26"/>
        </w:rPr>
      </w:pPr>
      <w:bookmarkStart w:id="1" w:name="_bookmark4"/>
      <w:bookmarkEnd w:id="1"/>
    </w:p>
    <w:p>
      <w:pPr>
        <w:keepNext w:val="0"/>
        <w:keepLines w:val="0"/>
        <w:pageBreakBefore w:val="0"/>
        <w:widowControl w:val="0"/>
        <w:kinsoku/>
        <w:wordWrap/>
        <w:overflowPunct/>
        <w:topLinePunct w:val="0"/>
        <w:autoSpaceDE/>
        <w:autoSpaceDN/>
        <w:bidi w:val="0"/>
        <w:adjustRightInd/>
        <w:snapToGrid/>
        <w:spacing w:before="0" w:line="360" w:lineRule="auto"/>
        <w:ind w:left="1773" w:right="1952" w:firstLine="3"/>
        <w:jc w:val="center"/>
        <w:textAlignment w:val="auto"/>
        <w:rPr>
          <w:rFonts w:hint="eastAsia" w:ascii="宋体" w:hAnsi="宋体" w:eastAsia="宋体" w:cs="宋体"/>
          <w:sz w:val="24"/>
          <w:szCs w:val="24"/>
        </w:rPr>
      </w:pPr>
      <w:r>
        <w:rPr>
          <w:rFonts w:hint="eastAsia" w:ascii="宋体" w:hAnsi="宋体" w:eastAsia="宋体" w:cs="宋体"/>
          <w:sz w:val="24"/>
          <w:szCs w:val="24"/>
        </w:rPr>
        <w:t>南京信息工程大学</w:t>
      </w:r>
      <w:r>
        <w:rPr>
          <w:rFonts w:hint="eastAsia" w:ascii="宋体" w:hAnsi="宋体" w:eastAsia="宋体" w:cs="宋体"/>
          <w:sz w:val="24"/>
          <w:szCs w:val="24"/>
          <w:lang w:eastAsia="zh-CN"/>
        </w:rPr>
        <w:t>“</w:t>
      </w:r>
      <w:r>
        <w:rPr>
          <w:rFonts w:hint="eastAsia" w:ascii="宋体" w:hAnsi="宋体" w:eastAsia="宋体" w:cs="宋体"/>
          <w:w w:val="95"/>
          <w:sz w:val="24"/>
          <w:szCs w:val="24"/>
        </w:rPr>
        <w:t>第二课堂</w:t>
      </w:r>
      <w:r>
        <w:rPr>
          <w:rFonts w:hint="eastAsia" w:ascii="宋体" w:hAnsi="宋体" w:eastAsia="宋体" w:cs="宋体"/>
          <w:sz w:val="24"/>
          <w:szCs w:val="24"/>
          <w:lang w:eastAsia="zh-CN"/>
        </w:rPr>
        <w:t>”</w:t>
      </w:r>
      <w:r>
        <w:rPr>
          <w:rFonts w:hint="eastAsia" w:ascii="宋体" w:hAnsi="宋体" w:eastAsia="宋体" w:cs="宋体"/>
          <w:w w:val="95"/>
          <w:sz w:val="24"/>
          <w:szCs w:val="24"/>
        </w:rPr>
        <w:t>学分实施及认定办法</w:t>
      </w:r>
    </w:p>
    <w:p>
      <w:pPr>
        <w:pStyle w:val="3"/>
        <w:keepNext w:val="0"/>
        <w:keepLines w:val="0"/>
        <w:pageBreakBefore w:val="0"/>
        <w:widowControl w:val="0"/>
        <w:tabs>
          <w:tab w:val="left" w:pos="1769"/>
        </w:tabs>
        <w:kinsoku/>
        <w:wordWrap/>
        <w:overflowPunct/>
        <w:topLinePunct w:val="0"/>
        <w:autoSpaceDE/>
        <w:autoSpaceDN/>
        <w:bidi w:val="0"/>
        <w:adjustRightInd/>
        <w:snapToGrid/>
        <w:spacing w:before="8" w:line="360" w:lineRule="auto"/>
        <w:ind w:left="0" w:right="174"/>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rPr>
        <w:t>第一章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则</w:t>
      </w:r>
    </w:p>
    <w:p>
      <w:pPr>
        <w:pStyle w:val="4"/>
        <w:keepNext w:val="0"/>
        <w:keepLines w:val="0"/>
        <w:pageBreakBefore w:val="0"/>
        <w:widowControl w:val="0"/>
        <w:tabs>
          <w:tab w:val="left" w:pos="2133"/>
        </w:tabs>
        <w:kinsoku/>
        <w:wordWrap/>
        <w:overflowPunct/>
        <w:topLinePunct w:val="0"/>
        <w:autoSpaceDE/>
        <w:autoSpaceDN/>
        <w:bidi w:val="0"/>
        <w:adjustRightInd/>
        <w:snapToGrid/>
        <w:spacing w:before="169" w:line="360" w:lineRule="auto"/>
        <w:ind w:right="114" w:firstLine="456" w:firstLineChars="200"/>
        <w:jc w:val="left"/>
        <w:textAlignment w:val="auto"/>
        <w:rPr>
          <w:rFonts w:hint="eastAsia" w:ascii="宋体" w:hAnsi="宋体" w:eastAsia="宋体" w:cs="宋体"/>
          <w:sz w:val="24"/>
          <w:szCs w:val="24"/>
        </w:rPr>
      </w:pPr>
      <w:r>
        <w:rPr>
          <w:rFonts w:hint="eastAsia" w:ascii="宋体" w:hAnsi="宋体" w:eastAsia="宋体" w:cs="宋体"/>
          <w:w w:val="95"/>
          <w:sz w:val="24"/>
          <w:szCs w:val="24"/>
        </w:rPr>
        <w:t>第一条</w:t>
      </w:r>
      <w:r>
        <w:rPr>
          <w:rFonts w:hint="eastAsia" w:cs="宋体"/>
          <w:w w:val="95"/>
          <w:sz w:val="24"/>
          <w:szCs w:val="24"/>
          <w:lang w:val="en-US" w:eastAsia="zh-CN"/>
        </w:rPr>
        <w:t xml:space="preserve"> </w:t>
      </w:r>
      <w:r>
        <w:rPr>
          <w:rFonts w:hint="eastAsia" w:ascii="宋体" w:hAnsi="宋体" w:eastAsia="宋体" w:cs="宋体"/>
          <w:sz w:val="24"/>
          <w:szCs w:val="24"/>
        </w:rPr>
        <w:t>为深入推进实践育人工作，充分发挥第二课堂在人</w:t>
      </w:r>
      <w:r>
        <w:rPr>
          <w:rFonts w:hint="eastAsia" w:ascii="宋体" w:hAnsi="宋体" w:eastAsia="宋体" w:cs="宋体"/>
          <w:spacing w:val="-2"/>
          <w:sz w:val="24"/>
          <w:szCs w:val="24"/>
        </w:rPr>
        <w:t>才培养中的作用，引导和鼓励学生积极参加校内外各类实践活动，</w:t>
      </w:r>
      <w:r>
        <w:rPr>
          <w:rFonts w:hint="eastAsia" w:ascii="宋体" w:hAnsi="宋体" w:eastAsia="宋体" w:cs="宋体"/>
          <w:spacing w:val="3"/>
          <w:sz w:val="24"/>
          <w:szCs w:val="24"/>
        </w:rPr>
        <w:t>着力培养学生的创新精神、实践能力和社会责任感，特制定本办</w:t>
      </w:r>
      <w:r>
        <w:rPr>
          <w:rFonts w:hint="eastAsia" w:ascii="宋体" w:hAnsi="宋体" w:eastAsia="宋体" w:cs="宋体"/>
          <w:sz w:val="24"/>
          <w:szCs w:val="24"/>
        </w:rPr>
        <w:t>法。</w:t>
      </w:r>
    </w:p>
    <w:p>
      <w:pPr>
        <w:pStyle w:val="4"/>
        <w:keepNext w:val="0"/>
        <w:keepLines w:val="0"/>
        <w:pageBreakBefore w:val="0"/>
        <w:widowControl w:val="0"/>
        <w:tabs>
          <w:tab w:val="left" w:pos="2133"/>
        </w:tabs>
        <w:kinsoku/>
        <w:wordWrap/>
        <w:overflowPunct/>
        <w:topLinePunct w:val="0"/>
        <w:autoSpaceDE/>
        <w:autoSpaceDN/>
        <w:bidi w:val="0"/>
        <w:adjustRightInd/>
        <w:snapToGrid/>
        <w:spacing w:before="169" w:line="360" w:lineRule="auto"/>
        <w:ind w:right="114" w:firstLine="456" w:firstLineChars="200"/>
        <w:jc w:val="left"/>
        <w:textAlignment w:val="auto"/>
        <w:rPr>
          <w:rFonts w:hint="eastAsia" w:ascii="宋体" w:hAnsi="宋体" w:eastAsia="宋体" w:cs="宋体"/>
          <w:sz w:val="24"/>
          <w:szCs w:val="24"/>
        </w:rPr>
      </w:pPr>
      <w:r>
        <w:rPr>
          <w:rFonts w:hint="eastAsia" w:ascii="宋体" w:hAnsi="宋体" w:eastAsia="宋体" w:cs="宋体"/>
          <w:w w:val="95"/>
          <w:sz w:val="24"/>
          <w:szCs w:val="24"/>
        </w:rPr>
        <w:t>第二条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第二课堂学习是本科生课程的重要组成部分，共2个学分，对应150个实践学时。</w:t>
      </w:r>
    </w:p>
    <w:p>
      <w:pPr>
        <w:keepNext w:val="0"/>
        <w:keepLines w:val="0"/>
        <w:pageBreakBefore w:val="0"/>
        <w:widowControl w:val="0"/>
        <w:kinsoku/>
        <w:wordWrap/>
        <w:overflowPunct/>
        <w:topLinePunct w:val="0"/>
        <w:autoSpaceDE/>
        <w:autoSpaceDN/>
        <w:bidi w:val="0"/>
        <w:adjustRightInd/>
        <w:snapToGrid/>
        <w:spacing w:before="205" w:line="360" w:lineRule="auto"/>
        <w:ind w:left="100" w:right="274" w:firstLine="474" w:firstLineChars="200"/>
        <w:jc w:val="both"/>
        <w:textAlignment w:val="auto"/>
        <w:rPr>
          <w:rFonts w:hint="eastAsia" w:ascii="宋体" w:hAnsi="宋体" w:eastAsia="宋体" w:cs="宋体"/>
          <w:sz w:val="24"/>
          <w:szCs w:val="24"/>
        </w:rPr>
      </w:pPr>
      <w:r>
        <w:rPr>
          <w:rFonts w:hint="eastAsia" w:ascii="宋体" w:hAnsi="宋体" w:eastAsia="宋体" w:cs="宋体"/>
          <w:w w:val="99"/>
          <w:sz w:val="24"/>
          <w:szCs w:val="24"/>
        </w:rPr>
        <w:t>第三条</w:t>
      </w:r>
      <w:r>
        <w:rPr>
          <w:rFonts w:hint="eastAsia" w:ascii="宋体" w:hAnsi="宋体" w:eastAsia="宋体" w:cs="宋体"/>
          <w:w w:val="99"/>
          <w:sz w:val="24"/>
          <w:szCs w:val="24"/>
          <w:lang w:val="en-US" w:eastAsia="zh-CN"/>
        </w:rPr>
        <w:t xml:space="preserve"> </w:t>
      </w:r>
      <w:r>
        <w:rPr>
          <w:rFonts w:hint="eastAsia" w:ascii="宋体" w:hAnsi="宋体" w:eastAsia="宋体" w:cs="宋体"/>
          <w:spacing w:val="-14"/>
          <w:w w:val="99"/>
          <w:sz w:val="24"/>
          <w:szCs w:val="24"/>
        </w:rPr>
        <w:t>第二课堂学分分为“社会实践类”、“课外活动参加</w:t>
      </w:r>
      <w:r>
        <w:rPr>
          <w:rFonts w:hint="eastAsia" w:ascii="宋体" w:hAnsi="宋体" w:eastAsia="宋体" w:cs="宋体"/>
          <w:spacing w:val="-27"/>
          <w:w w:val="99"/>
          <w:sz w:val="24"/>
          <w:szCs w:val="24"/>
        </w:rPr>
        <w:t>与获奖类”、“社会工作、荣誉与技能培训类”、“竞赛参加及学术成</w:t>
      </w:r>
      <w:r>
        <w:rPr>
          <w:rFonts w:hint="eastAsia" w:ascii="宋体" w:hAnsi="宋体" w:eastAsia="宋体" w:cs="宋体"/>
          <w:sz w:val="24"/>
          <w:szCs w:val="24"/>
        </w:rPr>
        <w:t>果类”等四大类。素质拓展学分依托大学生成长服务平台PocketUniversity（简称PU）实施，经有关部门审定后认定。</w:t>
      </w:r>
    </w:p>
    <w:p>
      <w:pPr>
        <w:keepNext w:val="0"/>
        <w:keepLines w:val="0"/>
        <w:pageBreakBefore w:val="0"/>
        <w:widowControl w:val="0"/>
        <w:tabs>
          <w:tab w:val="left" w:pos="1286"/>
        </w:tabs>
        <w:kinsoku/>
        <w:wordWrap/>
        <w:overflowPunct/>
        <w:topLinePunct w:val="0"/>
        <w:autoSpaceDE/>
        <w:autoSpaceDN/>
        <w:bidi w:val="0"/>
        <w:adjustRightInd/>
        <w:snapToGrid/>
        <w:spacing w:before="0" w:line="360" w:lineRule="auto"/>
        <w:ind w:left="0" w:right="175" w:firstLine="0"/>
        <w:jc w:val="center"/>
        <w:textAlignment w:val="auto"/>
        <w:rPr>
          <w:rFonts w:hint="eastAsia" w:ascii="宋体" w:hAnsi="宋体" w:eastAsia="宋体" w:cs="宋体"/>
          <w:sz w:val="24"/>
          <w:szCs w:val="24"/>
        </w:rPr>
      </w:pPr>
      <w:r>
        <w:rPr>
          <w:rFonts w:hint="eastAsia" w:ascii="宋体" w:hAnsi="宋体" w:eastAsia="宋体" w:cs="宋体"/>
          <w:b/>
          <w:bCs/>
          <w:sz w:val="24"/>
          <w:szCs w:val="24"/>
        </w:rPr>
        <w:t>第二章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组织管理</w:t>
      </w:r>
    </w:p>
    <w:p>
      <w:pPr>
        <w:keepNext w:val="0"/>
        <w:keepLines w:val="0"/>
        <w:pageBreakBefore w:val="0"/>
        <w:widowControl w:val="0"/>
        <w:kinsoku/>
        <w:wordWrap/>
        <w:overflowPunct/>
        <w:topLinePunct w:val="0"/>
        <w:autoSpaceDE/>
        <w:autoSpaceDN/>
        <w:bidi w:val="0"/>
        <w:adjustRightInd/>
        <w:snapToGrid/>
        <w:spacing w:before="169" w:line="360" w:lineRule="auto"/>
        <w:ind w:left="102" w:right="27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由学校成立专门协调小组领导第二课堂学分组织实施工作，由校团委牵头实施。</w:t>
      </w:r>
    </w:p>
    <w:p>
      <w:pPr>
        <w:keepNext w:val="0"/>
        <w:keepLines w:val="0"/>
        <w:pageBreakBefore w:val="0"/>
        <w:widowControl w:val="0"/>
        <w:kinsoku/>
        <w:wordWrap/>
        <w:overflowPunct/>
        <w:topLinePunct w:val="0"/>
        <w:autoSpaceDE/>
        <w:autoSpaceDN/>
        <w:bidi w:val="0"/>
        <w:adjustRightInd/>
        <w:snapToGrid/>
        <w:spacing w:before="49" w:line="360" w:lineRule="auto"/>
        <w:ind w:left="102" w:right="27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各学院是第二课堂学分的实施单位，负责本学院本</w:t>
      </w:r>
      <w:r>
        <w:rPr>
          <w:rFonts w:hint="eastAsia" w:ascii="宋体" w:hAnsi="宋体" w:eastAsia="宋体" w:cs="宋体"/>
          <w:spacing w:val="-7"/>
          <w:w w:val="95"/>
          <w:sz w:val="24"/>
          <w:szCs w:val="24"/>
        </w:rPr>
        <w:t>科生第二课堂学分的规划实施、审核及报送等工作，由学院团委具</w:t>
      </w:r>
      <w:r>
        <w:rPr>
          <w:rFonts w:hint="eastAsia" w:ascii="宋体" w:hAnsi="宋体" w:eastAsia="宋体" w:cs="宋体"/>
          <w:sz w:val="24"/>
          <w:szCs w:val="24"/>
        </w:rPr>
        <w:t>体落实。</w:t>
      </w:r>
    </w:p>
    <w:p>
      <w:pPr>
        <w:keepNext w:val="0"/>
        <w:keepLines w:val="0"/>
        <w:pageBreakBefore w:val="0"/>
        <w:widowControl w:val="0"/>
        <w:kinsoku/>
        <w:wordWrap/>
        <w:overflowPunct/>
        <w:topLinePunct w:val="0"/>
        <w:autoSpaceDE/>
        <w:autoSpaceDN/>
        <w:bidi w:val="0"/>
        <w:adjustRightInd/>
        <w:snapToGrid/>
        <w:spacing w:before="48" w:line="360" w:lineRule="auto"/>
        <w:ind w:left="102" w:right="271" w:firstLine="480" w:firstLineChars="200"/>
        <w:jc w:val="both"/>
        <w:textAlignment w:val="auto"/>
        <w:outlineLvl w:val="9"/>
        <w:rPr>
          <w:rFonts w:hint="eastAsia" w:ascii="宋体" w:hAnsi="宋体" w:eastAsia="宋体" w:cs="宋体"/>
          <w:spacing w:val="-6"/>
          <w:w w:val="99"/>
          <w:sz w:val="24"/>
          <w:szCs w:val="24"/>
        </w:rPr>
      </w:pPr>
      <w:r>
        <w:rPr>
          <w:rFonts w:hint="eastAsia" w:ascii="宋体" w:hAnsi="宋体" w:eastAsia="宋体" w:cs="宋体"/>
          <w:sz w:val="24"/>
          <w:szCs w:val="24"/>
        </w:rPr>
        <w:t>第六条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课外活动参加学时由PU</w:t>
      </w:r>
      <w:r>
        <w:rPr>
          <w:rFonts w:hint="eastAsia" w:ascii="宋体" w:hAnsi="宋体" w:eastAsia="宋体" w:cs="宋体"/>
          <w:spacing w:val="-4"/>
          <w:sz w:val="24"/>
          <w:szCs w:val="24"/>
        </w:rPr>
        <w:t>系统自动认定，参加完相关</w:t>
      </w:r>
      <w:r>
        <w:rPr>
          <w:rFonts w:hint="eastAsia" w:ascii="宋体" w:hAnsi="宋体" w:eastAsia="宋体" w:cs="宋体"/>
          <w:spacing w:val="1"/>
          <w:w w:val="99"/>
          <w:sz w:val="24"/>
          <w:szCs w:val="24"/>
        </w:rPr>
        <w:t>活动经过</w:t>
      </w:r>
      <w:r>
        <w:rPr>
          <w:rFonts w:hint="eastAsia" w:ascii="宋体" w:hAnsi="宋体" w:eastAsia="宋体" w:cs="宋体"/>
          <w:w w:val="99"/>
          <w:sz w:val="24"/>
          <w:szCs w:val="24"/>
        </w:rPr>
        <w:t>PU</w:t>
      </w:r>
      <w:r>
        <w:rPr>
          <w:rFonts w:hint="eastAsia" w:ascii="宋体" w:hAnsi="宋体" w:eastAsia="宋体" w:cs="宋体"/>
          <w:spacing w:val="-7"/>
          <w:w w:val="99"/>
          <w:sz w:val="24"/>
          <w:szCs w:val="24"/>
        </w:rPr>
        <w:t>手机端签到即可获得相应学时（活动类）。其他类别</w:t>
      </w:r>
      <w:r>
        <w:rPr>
          <w:rFonts w:hint="eastAsia" w:ascii="宋体" w:hAnsi="宋体" w:eastAsia="宋体" w:cs="宋体"/>
          <w:spacing w:val="-7"/>
          <w:sz w:val="24"/>
          <w:szCs w:val="24"/>
        </w:rPr>
        <w:t>学时由组织活动部门统一输入（评奖评优类）或者由学生本人通过</w:t>
      </w:r>
      <w:r>
        <w:rPr>
          <w:rFonts w:hint="eastAsia" w:ascii="宋体" w:hAnsi="宋体" w:eastAsia="宋体" w:cs="宋体"/>
          <w:w w:val="99"/>
          <w:sz w:val="24"/>
          <w:szCs w:val="24"/>
        </w:rPr>
        <w:t>PU</w:t>
      </w:r>
      <w:r>
        <w:rPr>
          <w:rFonts w:hint="eastAsia" w:ascii="宋体" w:hAnsi="宋体" w:eastAsia="宋体" w:cs="宋体"/>
          <w:spacing w:val="-6"/>
          <w:w w:val="99"/>
          <w:sz w:val="24"/>
          <w:szCs w:val="24"/>
        </w:rPr>
        <w:t>系统申报,并上传证明材料，经学院审核后认定（其他类）。</w:t>
      </w:r>
    </w:p>
    <w:p>
      <w:pPr>
        <w:keepNext w:val="0"/>
        <w:keepLines w:val="0"/>
        <w:pageBreakBefore w:val="0"/>
        <w:widowControl w:val="0"/>
        <w:kinsoku/>
        <w:wordWrap/>
        <w:overflowPunct/>
        <w:topLinePunct w:val="0"/>
        <w:autoSpaceDE/>
        <w:autoSpaceDN/>
        <w:bidi w:val="0"/>
        <w:adjustRightInd/>
        <w:snapToGrid/>
        <w:spacing w:before="48" w:line="360" w:lineRule="auto"/>
        <w:ind w:left="102" w:right="271"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w w:val="95"/>
          <w:sz w:val="24"/>
          <w:szCs w:val="24"/>
        </w:rPr>
        <w:t>第七条</w:t>
      </w:r>
      <w:r>
        <w:rPr>
          <w:rFonts w:hint="eastAsia" w:ascii="宋体" w:hAnsi="宋体" w:eastAsia="宋体" w:cs="宋体"/>
          <w:spacing w:val="3"/>
          <w:w w:val="95"/>
          <w:sz w:val="24"/>
          <w:szCs w:val="24"/>
          <w:lang w:val="en-US" w:eastAsia="zh-CN"/>
        </w:rPr>
        <w:t xml:space="preserve"> </w:t>
      </w:r>
      <w:r>
        <w:rPr>
          <w:rFonts w:hint="eastAsia" w:ascii="宋体" w:hAnsi="宋体" w:eastAsia="宋体" w:cs="宋体"/>
          <w:spacing w:val="4"/>
          <w:sz w:val="24"/>
          <w:szCs w:val="24"/>
        </w:rPr>
        <w:t>第二课堂成绩在第七学期开学初提交至教务处,参</w:t>
      </w:r>
      <w:r>
        <w:rPr>
          <w:rFonts w:hint="eastAsia" w:ascii="宋体" w:hAnsi="宋体" w:eastAsia="宋体" w:cs="宋体"/>
          <w:spacing w:val="-7"/>
          <w:w w:val="95"/>
          <w:sz w:val="24"/>
          <w:szCs w:val="24"/>
        </w:rPr>
        <w:t>加毕业审核。大一至大三学年，在各单项累计获得实践学时均满足最低要求的前提下，累计获得实践学时达到规定要求的，课程成绩</w:t>
      </w:r>
      <w:r>
        <w:rPr>
          <w:rFonts w:hint="eastAsia" w:ascii="宋体" w:hAnsi="宋体" w:eastAsia="宋体" w:cs="宋体"/>
          <w:w w:val="99"/>
          <w:sz w:val="24"/>
          <w:szCs w:val="24"/>
        </w:rPr>
        <w:t>计为</w:t>
      </w:r>
      <w:r>
        <w:rPr>
          <w:rFonts w:hint="eastAsia" w:ascii="宋体" w:hAnsi="宋体" w:eastAsia="宋体" w:cs="宋体"/>
          <w:spacing w:val="-1"/>
          <w:w w:val="99"/>
          <w:sz w:val="24"/>
          <w:szCs w:val="24"/>
        </w:rPr>
        <w:t>70</w:t>
      </w:r>
      <w:r>
        <w:rPr>
          <w:rFonts w:hint="eastAsia" w:ascii="宋体" w:hAnsi="宋体" w:eastAsia="宋体" w:cs="宋体"/>
          <w:spacing w:val="-11"/>
          <w:w w:val="99"/>
          <w:sz w:val="24"/>
          <w:szCs w:val="24"/>
        </w:rPr>
        <w:t>分；累计学时每超过要求学时的</w:t>
      </w:r>
      <w:r>
        <w:rPr>
          <w:rFonts w:hint="eastAsia" w:ascii="宋体" w:hAnsi="宋体" w:eastAsia="宋体" w:cs="宋体"/>
          <w:spacing w:val="-16"/>
          <w:w w:val="99"/>
          <w:sz w:val="24"/>
          <w:szCs w:val="24"/>
        </w:rPr>
        <w:t>20%，课程成绩提升</w:t>
      </w:r>
      <w:r>
        <w:rPr>
          <w:rFonts w:hint="eastAsia" w:ascii="宋体" w:hAnsi="宋体" w:eastAsia="宋体" w:cs="宋体"/>
          <w:spacing w:val="-1"/>
          <w:w w:val="99"/>
          <w:sz w:val="24"/>
          <w:szCs w:val="24"/>
        </w:rPr>
        <w:t>10</w:t>
      </w:r>
      <w:r>
        <w:rPr>
          <w:rFonts w:hint="eastAsia" w:ascii="宋体" w:hAnsi="宋体" w:eastAsia="宋体" w:cs="宋体"/>
          <w:w w:val="99"/>
          <w:sz w:val="24"/>
          <w:szCs w:val="24"/>
        </w:rPr>
        <w:t>分，</w:t>
      </w:r>
      <w:r>
        <w:rPr>
          <w:rFonts w:hint="eastAsia" w:ascii="宋体" w:hAnsi="宋体" w:eastAsia="宋体" w:cs="宋体"/>
          <w:sz w:val="24"/>
          <w:szCs w:val="24"/>
        </w:rPr>
        <w:t>100分封顶。</w:t>
      </w:r>
    </w:p>
    <w:p>
      <w:pPr>
        <w:keepNext w:val="0"/>
        <w:keepLines w:val="0"/>
        <w:pageBreakBefore w:val="0"/>
        <w:widowControl w:val="0"/>
        <w:tabs>
          <w:tab w:val="left" w:pos="2133"/>
        </w:tabs>
        <w:kinsoku/>
        <w:wordWrap/>
        <w:overflowPunct/>
        <w:topLinePunct w:val="0"/>
        <w:autoSpaceDE/>
        <w:autoSpaceDN/>
        <w:bidi w:val="0"/>
        <w:adjustRightInd/>
        <w:snapToGrid/>
        <w:spacing w:before="205" w:line="360" w:lineRule="auto"/>
        <w:ind w:left="102" w:right="114" w:firstLine="456" w:firstLineChars="200"/>
        <w:jc w:val="left"/>
        <w:textAlignment w:val="auto"/>
        <w:outlineLvl w:val="9"/>
        <w:rPr>
          <w:rFonts w:hint="eastAsia" w:ascii="宋体" w:hAnsi="宋体" w:eastAsia="宋体" w:cs="宋体"/>
          <w:sz w:val="24"/>
          <w:szCs w:val="24"/>
        </w:rPr>
      </w:pPr>
      <w:r>
        <w:rPr>
          <w:rFonts w:hint="eastAsia" w:ascii="宋体" w:hAnsi="宋体" w:eastAsia="宋体" w:cs="宋体"/>
          <w:w w:val="95"/>
          <w:sz w:val="24"/>
          <w:szCs w:val="24"/>
        </w:rPr>
        <w:t>第八条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大一至大三学年实践学时累计不足或某一单项未满</w:t>
      </w:r>
      <w:r>
        <w:rPr>
          <w:rFonts w:hint="eastAsia" w:ascii="宋体" w:hAnsi="宋体" w:eastAsia="宋体" w:cs="宋体"/>
          <w:spacing w:val="-7"/>
          <w:sz w:val="24"/>
          <w:szCs w:val="24"/>
        </w:rPr>
        <w:t>足最低实践学时要求的，按照“差多少补多少”的原则，可在毕业</w:t>
      </w:r>
      <w:r>
        <w:rPr>
          <w:rFonts w:hint="eastAsia" w:ascii="宋体" w:hAnsi="宋体" w:eastAsia="宋体" w:cs="宋体"/>
          <w:sz w:val="24"/>
          <w:szCs w:val="24"/>
        </w:rPr>
        <w:t>学年的6月份前补修，在补足所差实践学时后该课程计为70分。</w:t>
      </w:r>
      <w:r>
        <w:rPr>
          <w:rFonts w:hint="eastAsia" w:ascii="宋体" w:hAnsi="宋体" w:eastAsia="宋体" w:cs="宋体"/>
          <w:spacing w:val="3"/>
          <w:sz w:val="24"/>
          <w:szCs w:val="24"/>
        </w:rPr>
        <w:t>学生在毕业前仍未获得规定要求实践学时或各单项未满足最低实</w:t>
      </w:r>
      <w:r>
        <w:rPr>
          <w:rFonts w:hint="eastAsia" w:ascii="宋体" w:hAnsi="宋体" w:eastAsia="宋体" w:cs="宋体"/>
          <w:spacing w:val="-7"/>
          <w:sz w:val="24"/>
          <w:szCs w:val="24"/>
        </w:rPr>
        <w:t>践学时要求的，不能获得相应学分，在最长学习年限内按照学校相</w:t>
      </w:r>
      <w:r>
        <w:rPr>
          <w:rFonts w:hint="eastAsia" w:ascii="宋体" w:hAnsi="宋体" w:eastAsia="宋体" w:cs="宋体"/>
          <w:sz w:val="24"/>
          <w:szCs w:val="24"/>
        </w:rPr>
        <w:t>关规定进行重修。</w:t>
      </w:r>
    </w:p>
    <w:p>
      <w:pPr>
        <w:keepNext w:val="0"/>
        <w:keepLines w:val="0"/>
        <w:pageBreakBefore w:val="0"/>
        <w:widowControl w:val="0"/>
        <w:kinsoku/>
        <w:wordWrap/>
        <w:overflowPunct/>
        <w:topLinePunct w:val="0"/>
        <w:autoSpaceDE/>
        <w:autoSpaceDN/>
        <w:bidi w:val="0"/>
        <w:adjustRightInd/>
        <w:snapToGrid/>
        <w:spacing w:before="48" w:line="360" w:lineRule="auto"/>
        <w:ind w:left="102" w:right="273"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凡弄虚作假的，一经查实，以考试违纪判定；两次</w:t>
      </w:r>
      <w:r>
        <w:rPr>
          <w:rFonts w:hint="eastAsia" w:ascii="宋体" w:hAnsi="宋体" w:eastAsia="宋体" w:cs="宋体"/>
          <w:spacing w:val="-7"/>
          <w:w w:val="95"/>
          <w:sz w:val="24"/>
          <w:szCs w:val="24"/>
        </w:rPr>
        <w:t>以上（含两次）弄虚作假的，以考试作弊判定，并依据相关规定予</w:t>
      </w:r>
      <w:r>
        <w:rPr>
          <w:rFonts w:hint="eastAsia" w:ascii="宋体" w:hAnsi="宋体" w:eastAsia="宋体" w:cs="宋体"/>
          <w:sz w:val="24"/>
          <w:szCs w:val="24"/>
        </w:rPr>
        <w:t>以处分。</w:t>
      </w:r>
    </w:p>
    <w:p>
      <w:pPr>
        <w:keepNext w:val="0"/>
        <w:keepLines w:val="0"/>
        <w:pageBreakBefore w:val="0"/>
        <w:widowControl w:val="0"/>
        <w:tabs>
          <w:tab w:val="left" w:pos="2133"/>
        </w:tabs>
        <w:kinsoku/>
        <w:wordWrap/>
        <w:overflowPunct/>
        <w:topLinePunct w:val="0"/>
        <w:autoSpaceDE/>
        <w:autoSpaceDN/>
        <w:bidi w:val="0"/>
        <w:adjustRightInd/>
        <w:snapToGrid/>
        <w:spacing w:before="48" w:line="360" w:lineRule="auto"/>
        <w:ind w:left="102" w:right="274" w:firstLine="456" w:firstLineChars="200"/>
        <w:jc w:val="left"/>
        <w:textAlignment w:val="auto"/>
        <w:outlineLvl w:val="9"/>
        <w:rPr>
          <w:rFonts w:hint="eastAsia" w:ascii="宋体" w:hAnsi="宋体" w:eastAsia="宋体" w:cs="宋体"/>
          <w:sz w:val="24"/>
          <w:szCs w:val="24"/>
        </w:rPr>
      </w:pPr>
      <w:r>
        <w:rPr>
          <w:rFonts w:hint="eastAsia" w:ascii="宋体" w:hAnsi="宋体" w:eastAsia="宋体" w:cs="宋体"/>
          <w:w w:val="95"/>
          <w:sz w:val="24"/>
          <w:szCs w:val="24"/>
        </w:rPr>
        <w:t>第十条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如学生出现转专业、留级等学籍变动，相应审核工作由变动后学院负责。</w:t>
      </w:r>
    </w:p>
    <w:p>
      <w:pPr>
        <w:keepNext w:val="0"/>
        <w:keepLines w:val="0"/>
        <w:pageBreakBefore w:val="0"/>
        <w:widowControl w:val="0"/>
        <w:tabs>
          <w:tab w:val="left" w:pos="4637"/>
        </w:tabs>
        <w:kinsoku/>
        <w:wordWrap/>
        <w:overflowPunct/>
        <w:topLinePunct w:val="0"/>
        <w:autoSpaceDE/>
        <w:autoSpaceDN/>
        <w:bidi w:val="0"/>
        <w:adjustRightInd/>
        <w:snapToGrid/>
        <w:spacing w:before="0" w:line="360" w:lineRule="auto"/>
        <w:ind w:left="3350" w:right="114" w:firstLine="0"/>
        <w:jc w:val="left"/>
        <w:textAlignment w:val="auto"/>
        <w:rPr>
          <w:rFonts w:hint="eastAsia" w:ascii="宋体" w:hAnsi="宋体" w:eastAsia="宋体" w:cs="宋体"/>
          <w:sz w:val="24"/>
          <w:szCs w:val="24"/>
        </w:rPr>
      </w:pPr>
      <w:r>
        <w:rPr>
          <w:rFonts w:hint="eastAsia" w:ascii="宋体" w:hAnsi="宋体" w:eastAsia="宋体" w:cs="宋体"/>
          <w:b/>
          <w:bCs/>
          <w:sz w:val="24"/>
          <w:szCs w:val="24"/>
        </w:rPr>
        <w:t>第三章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评定标准</w:t>
      </w:r>
    </w:p>
    <w:p>
      <w:pPr>
        <w:keepNext w:val="0"/>
        <w:keepLines w:val="0"/>
        <w:pageBreakBefore w:val="0"/>
        <w:widowControl w:val="0"/>
        <w:tabs>
          <w:tab w:val="left" w:pos="2342"/>
        </w:tabs>
        <w:kinsoku/>
        <w:wordWrap/>
        <w:overflowPunct/>
        <w:topLinePunct w:val="0"/>
        <w:autoSpaceDE/>
        <w:autoSpaceDN/>
        <w:bidi w:val="0"/>
        <w:adjustRightInd/>
        <w:snapToGrid/>
        <w:spacing w:before="169" w:line="360" w:lineRule="auto"/>
        <w:ind w:right="114" w:firstLine="684" w:firstLineChars="300"/>
        <w:jc w:val="left"/>
        <w:textAlignment w:val="auto"/>
        <w:rPr>
          <w:rFonts w:hint="eastAsia" w:ascii="宋体" w:hAnsi="宋体" w:eastAsia="宋体" w:cs="宋体"/>
          <w:sz w:val="24"/>
          <w:szCs w:val="24"/>
        </w:rPr>
      </w:pPr>
      <w:r>
        <w:rPr>
          <w:rFonts w:hint="eastAsia" w:ascii="宋体" w:hAnsi="宋体" w:eastAsia="宋体" w:cs="宋体"/>
          <w:w w:val="95"/>
          <w:sz w:val="24"/>
          <w:szCs w:val="24"/>
        </w:rPr>
        <w:t>第十一条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寒暑期社会实践类</w:t>
      </w:r>
    </w:p>
    <w:p>
      <w:pPr>
        <w:pStyle w:val="4"/>
        <w:keepNext w:val="0"/>
        <w:keepLines w:val="0"/>
        <w:pageBreakBefore w:val="0"/>
        <w:widowControl w:val="0"/>
        <w:kinsoku/>
        <w:wordWrap/>
        <w:overflowPunct/>
        <w:topLinePunct w:val="0"/>
        <w:autoSpaceDE/>
        <w:autoSpaceDN/>
        <w:bidi w:val="0"/>
        <w:adjustRightInd/>
        <w:snapToGrid/>
        <w:spacing w:before="0" w:line="360" w:lineRule="auto"/>
        <w:ind w:left="102" w:right="11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1.寒暑期社会实践是指学生在寒暑假期间走向社会，以社会</w:t>
      </w:r>
      <w:r>
        <w:rPr>
          <w:rFonts w:hint="eastAsia" w:ascii="宋体" w:hAnsi="宋体" w:eastAsia="宋体" w:cs="宋体"/>
          <w:spacing w:val="-7"/>
          <w:w w:val="95"/>
          <w:sz w:val="24"/>
          <w:szCs w:val="24"/>
        </w:rPr>
        <w:t>调查、见习实习、创新创业、志愿服务、宣传教育、咨询辅导等为</w:t>
      </w:r>
      <w:r>
        <w:rPr>
          <w:rFonts w:hint="eastAsia" w:ascii="宋体" w:hAnsi="宋体" w:eastAsia="宋体" w:cs="宋体"/>
          <w:sz w:val="24"/>
          <w:szCs w:val="24"/>
        </w:rPr>
        <w:t>基本内容的实践活动。全日制本科生必须修满至少90</w:t>
      </w:r>
      <w:r>
        <w:rPr>
          <w:rFonts w:hint="eastAsia" w:ascii="宋体" w:hAnsi="宋体" w:eastAsia="宋体" w:cs="宋体"/>
          <w:spacing w:val="-5"/>
          <w:sz w:val="24"/>
          <w:szCs w:val="24"/>
        </w:rPr>
        <w:t>个学时，至</w:t>
      </w:r>
      <w:r>
        <w:rPr>
          <w:rFonts w:hint="eastAsia" w:ascii="宋体" w:hAnsi="宋体" w:eastAsia="宋体" w:cs="宋体"/>
          <w:sz w:val="24"/>
          <w:szCs w:val="24"/>
        </w:rPr>
        <w:t>少参加1次团队实践,2次个人项目实践。</w:t>
      </w:r>
    </w:p>
    <w:p>
      <w:pPr>
        <w:keepNext w:val="0"/>
        <w:keepLines w:val="0"/>
        <w:pageBreakBefore w:val="0"/>
        <w:widowControl w:val="0"/>
        <w:kinsoku/>
        <w:wordWrap/>
        <w:overflowPunct/>
        <w:topLinePunct w:val="0"/>
        <w:autoSpaceDE/>
        <w:autoSpaceDN/>
        <w:bidi w:val="0"/>
        <w:adjustRightInd/>
        <w:snapToGrid/>
        <w:spacing w:before="205" w:line="360" w:lineRule="auto"/>
        <w:ind w:left="102" w:right="115" w:firstLine="428" w:firstLineChars="200"/>
        <w:jc w:val="both"/>
        <w:textAlignment w:val="auto"/>
        <w:rPr>
          <w:rFonts w:hint="eastAsia" w:ascii="宋体" w:hAnsi="宋体" w:eastAsia="宋体" w:cs="宋体"/>
          <w:sz w:val="24"/>
          <w:szCs w:val="24"/>
        </w:rPr>
      </w:pPr>
      <w:r>
        <w:rPr>
          <w:rFonts w:hint="eastAsia" w:ascii="宋体" w:hAnsi="宋体" w:eastAsia="宋体" w:cs="宋体"/>
          <w:spacing w:val="-7"/>
          <w:w w:val="95"/>
          <w:sz w:val="24"/>
          <w:szCs w:val="24"/>
        </w:rPr>
        <w:t>2.寒暑期个人自主实践或参加学校立项的校级、省级、国家级社会实践团队并完成一篇合格的实践总结，分别认定实践学时，每</w:t>
      </w:r>
      <w:r>
        <w:rPr>
          <w:rFonts w:hint="eastAsia" w:ascii="宋体" w:hAnsi="宋体" w:eastAsia="宋体" w:cs="宋体"/>
          <w:sz w:val="24"/>
          <w:szCs w:val="24"/>
        </w:rPr>
        <w:t>个假期最多认定1个实践项目。</w:t>
      </w:r>
    </w:p>
    <w:p>
      <w:pPr>
        <w:keepNext w:val="0"/>
        <w:keepLines w:val="0"/>
        <w:pageBreakBefore w:val="0"/>
        <w:widowControl w:val="0"/>
        <w:kinsoku/>
        <w:wordWrap/>
        <w:overflowPunct/>
        <w:topLinePunct w:val="0"/>
        <w:autoSpaceDE/>
        <w:autoSpaceDN/>
        <w:bidi w:val="0"/>
        <w:adjustRightInd/>
        <w:snapToGrid/>
        <w:spacing w:before="48" w:line="360" w:lineRule="auto"/>
        <w:ind w:left="102" w:right="112" w:firstLine="428" w:firstLineChars="200"/>
        <w:jc w:val="both"/>
        <w:textAlignment w:val="auto"/>
        <w:rPr>
          <w:rFonts w:hint="eastAsia" w:ascii="宋体" w:hAnsi="宋体" w:eastAsia="宋体" w:cs="宋体"/>
          <w:sz w:val="24"/>
          <w:szCs w:val="24"/>
        </w:rPr>
      </w:pPr>
      <w:r>
        <w:rPr>
          <w:rFonts w:hint="eastAsia" w:ascii="宋体" w:hAnsi="宋体" w:eastAsia="宋体" w:cs="宋体"/>
          <w:spacing w:val="-7"/>
          <w:w w:val="95"/>
          <w:sz w:val="24"/>
          <w:szCs w:val="24"/>
        </w:rPr>
        <w:t>3.寒暑期社会实践中，个人获得校级、省级、全国表彰的，根据级别认定实践学时；集体受到表彰的，其成员按上述标准减半认</w:t>
      </w:r>
      <w:r>
        <w:rPr>
          <w:rFonts w:hint="eastAsia" w:ascii="宋体" w:hAnsi="宋体" w:eastAsia="宋体" w:cs="宋体"/>
          <w:sz w:val="24"/>
          <w:szCs w:val="24"/>
        </w:rPr>
        <w:t>定实践学时。同时获得多项表彰的，取最高学时予以认定。</w:t>
      </w:r>
    </w:p>
    <w:p>
      <w:pPr>
        <w:keepNext w:val="0"/>
        <w:keepLines w:val="0"/>
        <w:pageBreakBefore w:val="0"/>
        <w:widowControl w:val="0"/>
        <w:kinsoku/>
        <w:wordWrap/>
        <w:overflowPunct/>
        <w:topLinePunct w:val="0"/>
        <w:autoSpaceDE/>
        <w:autoSpaceDN/>
        <w:bidi w:val="0"/>
        <w:adjustRightInd/>
        <w:snapToGrid/>
        <w:spacing w:before="48" w:line="360" w:lineRule="auto"/>
        <w:ind w:left="102" w:right="115" w:firstLine="428" w:firstLineChars="200"/>
        <w:jc w:val="both"/>
        <w:textAlignment w:val="auto"/>
        <w:rPr>
          <w:rFonts w:hint="eastAsia" w:ascii="宋体" w:hAnsi="宋体" w:eastAsia="宋体" w:cs="宋体"/>
          <w:sz w:val="24"/>
          <w:szCs w:val="24"/>
        </w:rPr>
      </w:pPr>
      <w:r>
        <w:rPr>
          <w:rFonts w:hint="eastAsia" w:ascii="宋体" w:hAnsi="宋体" w:eastAsia="宋体" w:cs="宋体"/>
          <w:spacing w:val="-7"/>
          <w:w w:val="95"/>
          <w:sz w:val="24"/>
          <w:szCs w:val="24"/>
        </w:rPr>
        <w:t>4.学生在校期间注册工商企业开展创业实践，产生流水，并维持运行一年以上，企业法人代表视同参加寒暑期社会实践两次，给</w:t>
      </w:r>
      <w:r>
        <w:rPr>
          <w:rFonts w:hint="eastAsia" w:ascii="宋体" w:hAnsi="宋体" w:eastAsia="宋体" w:cs="宋体"/>
          <w:sz w:val="24"/>
          <w:szCs w:val="24"/>
        </w:rPr>
        <w:t>予认定60实践学时。(见下表)</w:t>
      </w:r>
    </w:p>
    <w:tbl>
      <w:tblPr>
        <w:tblStyle w:val="8"/>
        <w:tblW w:w="8220" w:type="dxa"/>
        <w:tblInd w:w="522" w:type="dxa"/>
        <w:tblLayout w:type="fixed"/>
        <w:tblCellMar>
          <w:top w:w="0" w:type="dxa"/>
          <w:left w:w="0" w:type="dxa"/>
          <w:bottom w:w="0" w:type="dxa"/>
          <w:right w:w="0" w:type="dxa"/>
        </w:tblCellMar>
      </w:tblPr>
      <w:tblGrid>
        <w:gridCol w:w="1001"/>
        <w:gridCol w:w="980"/>
        <w:gridCol w:w="1985"/>
        <w:gridCol w:w="994"/>
        <w:gridCol w:w="1983"/>
        <w:gridCol w:w="1277"/>
      </w:tblGrid>
      <w:tr>
        <w:tblPrEx>
          <w:tblLayout w:type="fixed"/>
          <w:tblCellMar>
            <w:top w:w="0" w:type="dxa"/>
            <w:left w:w="0" w:type="dxa"/>
            <w:bottom w:w="0" w:type="dxa"/>
            <w:right w:w="0" w:type="dxa"/>
          </w:tblCellMar>
        </w:tblPrEx>
        <w:trPr>
          <w:trHeight w:val="322" w:hRule="exact"/>
        </w:trPr>
        <w:tc>
          <w:tcPr>
            <w:tcW w:w="100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275"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类别</w:t>
            </w:r>
          </w:p>
        </w:tc>
        <w:tc>
          <w:tcPr>
            <w:tcW w:w="98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156"/>
              <w:jc w:val="right"/>
              <w:textAlignment w:val="auto"/>
              <w:rPr>
                <w:rFonts w:hint="eastAsia" w:ascii="宋体" w:hAnsi="宋体" w:eastAsia="宋体" w:cs="宋体"/>
                <w:sz w:val="21"/>
                <w:szCs w:val="21"/>
                <w:lang w:eastAsia="zh-CN"/>
              </w:rPr>
            </w:pPr>
            <w:r>
              <w:rPr>
                <w:rFonts w:hint="eastAsia" w:ascii="宋体" w:hAnsi="宋体" w:eastAsia="宋体" w:cs="宋体"/>
                <w:spacing w:val="-2"/>
                <w:sz w:val="21"/>
                <w:szCs w:val="21"/>
              </w:rPr>
              <w:t>状态</w:t>
            </w: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级别</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1"/>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学时/次</w:t>
            </w:r>
          </w:p>
        </w:tc>
        <w:tc>
          <w:tcPr>
            <w:tcW w:w="1983"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544"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证明材料</w:t>
            </w: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412"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备注</w:t>
            </w:r>
          </w:p>
        </w:tc>
      </w:tr>
      <w:tr>
        <w:tblPrEx>
          <w:tblLayout w:type="fixed"/>
          <w:tblCellMar>
            <w:top w:w="0" w:type="dxa"/>
            <w:left w:w="0" w:type="dxa"/>
            <w:bottom w:w="0" w:type="dxa"/>
            <w:right w:w="0" w:type="dxa"/>
          </w:tblCellMar>
        </w:tblPrEx>
        <w:trPr>
          <w:trHeight w:val="322" w:hRule="exact"/>
        </w:trPr>
        <w:tc>
          <w:tcPr>
            <w:tcW w:w="1001"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9"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65" w:right="161"/>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寒暑期社会实践</w:t>
            </w:r>
          </w:p>
          <w:p>
            <w:pPr>
              <w:pStyle w:val="11"/>
              <w:keepNext w:val="0"/>
              <w:keepLines w:val="0"/>
              <w:pageBreakBefore w:val="0"/>
              <w:widowControl w:val="0"/>
              <w:kinsoku/>
              <w:wordWrap/>
              <w:overflowPunct/>
              <w:topLinePunct w:val="0"/>
              <w:autoSpaceDE/>
              <w:autoSpaceDN/>
              <w:bidi w:val="0"/>
              <w:adjustRightInd/>
              <w:snapToGrid/>
              <w:spacing w:before="9" w:line="360" w:lineRule="auto"/>
              <w:ind w:left="107" w:right="0"/>
              <w:jc w:val="center"/>
              <w:textAlignment w:val="auto"/>
              <w:rPr>
                <w:rFonts w:hint="eastAsia" w:ascii="宋体" w:hAnsi="宋体" w:eastAsia="宋体" w:cs="宋体"/>
                <w:sz w:val="21"/>
                <w:szCs w:val="21"/>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7" w:right="0"/>
              <w:jc w:val="center"/>
              <w:textAlignment w:val="auto"/>
              <w:rPr>
                <w:rFonts w:hint="eastAsia" w:ascii="宋体" w:hAnsi="宋体" w:eastAsia="宋体" w:cs="宋体"/>
                <w:sz w:val="21"/>
                <w:szCs w:val="21"/>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7" w:right="0"/>
              <w:jc w:val="center"/>
              <w:textAlignment w:val="auto"/>
              <w:rPr>
                <w:rFonts w:hint="eastAsia" w:ascii="宋体" w:hAnsi="宋体" w:eastAsia="宋体" w:cs="宋体"/>
                <w:sz w:val="21"/>
                <w:szCs w:val="21"/>
                <w:lang w:eastAsia="zh-CN"/>
              </w:rPr>
            </w:pPr>
          </w:p>
        </w:tc>
        <w:tc>
          <w:tcPr>
            <w:tcW w:w="98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3"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262"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参加</w:t>
            </w: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校级</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30</w:t>
            </w:r>
          </w:p>
        </w:tc>
        <w:tc>
          <w:tcPr>
            <w:tcW w:w="1983"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4"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立项名单</w:t>
            </w:r>
          </w:p>
          <w:p>
            <w:pPr>
              <w:pStyle w:val="11"/>
              <w:keepNext w:val="0"/>
              <w:keepLines w:val="0"/>
              <w:pageBreakBefore w:val="0"/>
              <w:widowControl w:val="0"/>
              <w:kinsoku/>
              <w:wordWrap/>
              <w:overflowPunct/>
              <w:topLinePunct w:val="0"/>
              <w:autoSpaceDE/>
              <w:autoSpaceDN/>
              <w:bidi w:val="0"/>
              <w:adjustRightInd/>
              <w:snapToGrid/>
              <w:spacing w:before="19" w:line="360" w:lineRule="auto"/>
              <w:ind w:left="106" w:right="0"/>
              <w:jc w:val="center"/>
              <w:textAlignment w:val="auto"/>
              <w:rPr>
                <w:rFonts w:hint="eastAsia" w:ascii="宋体" w:hAnsi="宋体" w:eastAsia="宋体" w:cs="宋体"/>
                <w:sz w:val="21"/>
                <w:szCs w:val="21"/>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6" w:right="0"/>
              <w:jc w:val="center"/>
              <w:textAlignment w:val="auto"/>
              <w:rPr>
                <w:rFonts w:hint="eastAsia" w:ascii="宋体" w:hAnsi="宋体" w:eastAsia="宋体" w:cs="宋体"/>
                <w:sz w:val="21"/>
                <w:szCs w:val="21"/>
                <w:lang w:eastAsia="zh-CN"/>
              </w:rPr>
            </w:pPr>
          </w:p>
        </w:tc>
        <w:tc>
          <w:tcPr>
            <w:tcW w:w="1277"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除创业</w:t>
            </w:r>
          </w:p>
          <w:p>
            <w:pPr>
              <w:pStyle w:val="11"/>
              <w:keepNext w:val="0"/>
              <w:keepLines w:val="0"/>
              <w:pageBreakBefore w:val="0"/>
              <w:widowControl w:val="0"/>
              <w:kinsoku/>
              <w:wordWrap/>
              <w:overflowPunct/>
              <w:topLinePunct w:val="0"/>
              <w:autoSpaceDE/>
              <w:autoSpaceDN/>
              <w:bidi w:val="0"/>
              <w:adjustRightInd/>
              <w:snapToGrid/>
              <w:spacing w:before="12" w:line="360" w:lineRule="auto"/>
              <w:ind w:left="192" w:right="19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外，每生在校期间至少需要参加三次社会实践。</w:t>
            </w:r>
          </w:p>
        </w:tc>
      </w:tr>
      <w:tr>
        <w:tblPrEx>
          <w:tblLayout w:type="fixed"/>
          <w:tblCellMar>
            <w:top w:w="0" w:type="dxa"/>
            <w:left w:w="0" w:type="dxa"/>
            <w:bottom w:w="0" w:type="dxa"/>
            <w:right w:w="0" w:type="dxa"/>
          </w:tblCellMar>
        </w:tblPrEx>
        <w:trPr>
          <w:trHeight w:val="322" w:hRule="exact"/>
        </w:trPr>
        <w:tc>
          <w:tcPr>
            <w:tcW w:w="100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省级</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45</w:t>
            </w:r>
          </w:p>
        </w:tc>
        <w:tc>
          <w:tcPr>
            <w:tcW w:w="1983"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277"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1551" w:hRule="exact"/>
        </w:trPr>
        <w:tc>
          <w:tcPr>
            <w:tcW w:w="100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8"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国家级</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2"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55</w:t>
            </w:r>
          </w:p>
        </w:tc>
        <w:tc>
          <w:tcPr>
            <w:tcW w:w="1983"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277"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2" w:hRule="exact"/>
        </w:trPr>
        <w:tc>
          <w:tcPr>
            <w:tcW w:w="100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4"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262"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获奖</w:t>
            </w: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校级一等奖</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20</w:t>
            </w:r>
          </w:p>
        </w:tc>
        <w:tc>
          <w:tcPr>
            <w:tcW w:w="1983"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5" w:line="360" w:lineRule="auto"/>
              <w:ind w:left="105" w:right="104"/>
              <w:jc w:val="center"/>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由学生上传奖状电</w:t>
            </w:r>
            <w:r>
              <w:rPr>
                <w:rFonts w:hint="eastAsia" w:ascii="宋体" w:hAnsi="宋体" w:eastAsia="宋体" w:cs="宋体"/>
                <w:sz w:val="21"/>
                <w:szCs w:val="21"/>
              </w:rPr>
              <w:t>子版</w:t>
            </w:r>
          </w:p>
          <w:p>
            <w:pPr>
              <w:pStyle w:val="11"/>
              <w:keepNext w:val="0"/>
              <w:keepLines w:val="0"/>
              <w:pageBreakBefore w:val="0"/>
              <w:widowControl w:val="0"/>
              <w:kinsoku/>
              <w:wordWrap/>
              <w:overflowPunct/>
              <w:topLinePunct w:val="0"/>
              <w:autoSpaceDE/>
              <w:autoSpaceDN/>
              <w:bidi w:val="0"/>
              <w:adjustRightInd/>
              <w:snapToGrid/>
              <w:spacing w:before="9" w:line="360" w:lineRule="auto"/>
              <w:ind w:left="106" w:right="0"/>
              <w:jc w:val="center"/>
              <w:textAlignment w:val="auto"/>
              <w:rPr>
                <w:rFonts w:hint="eastAsia" w:ascii="宋体" w:hAnsi="宋体" w:eastAsia="宋体" w:cs="宋体"/>
                <w:sz w:val="21"/>
                <w:szCs w:val="21"/>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6" w:right="0"/>
              <w:jc w:val="center"/>
              <w:textAlignment w:val="auto"/>
              <w:rPr>
                <w:rFonts w:hint="eastAsia" w:ascii="宋体" w:hAnsi="宋体" w:eastAsia="宋体" w:cs="宋体"/>
                <w:sz w:val="21"/>
                <w:szCs w:val="21"/>
                <w:lang w:eastAsia="zh-CN"/>
              </w:rPr>
            </w:pPr>
          </w:p>
        </w:tc>
        <w:tc>
          <w:tcPr>
            <w:tcW w:w="1277"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1、成员减</w:t>
            </w:r>
          </w:p>
          <w:p>
            <w:pPr>
              <w:pStyle w:val="11"/>
              <w:keepNext w:val="0"/>
              <w:keepLines w:val="0"/>
              <w:pageBreakBefore w:val="0"/>
              <w:widowControl w:val="0"/>
              <w:kinsoku/>
              <w:wordWrap/>
              <w:overflowPunct/>
              <w:topLinePunct w:val="0"/>
              <w:autoSpaceDE/>
              <w:autoSpaceDN/>
              <w:bidi w:val="0"/>
              <w:adjustRightInd/>
              <w:snapToGrid/>
              <w:spacing w:before="7" w:line="360" w:lineRule="auto"/>
              <w:ind w:left="136" w:right="135" w:firstLine="110"/>
              <w:jc w:val="center"/>
              <w:textAlignment w:val="auto"/>
              <w:rPr>
                <w:rFonts w:hint="eastAsia" w:ascii="宋体" w:hAnsi="宋体" w:eastAsia="宋体" w:cs="宋体"/>
                <w:sz w:val="21"/>
                <w:szCs w:val="21"/>
              </w:rPr>
            </w:pPr>
            <w:r>
              <w:rPr>
                <w:rFonts w:hint="eastAsia" w:ascii="宋体" w:hAnsi="宋体" w:eastAsia="宋体" w:cs="宋体"/>
                <w:sz w:val="21"/>
                <w:szCs w:val="21"/>
              </w:rPr>
              <w:t>半2、二三等奖依次按</w:t>
            </w:r>
          </w:p>
          <w:p>
            <w:pPr>
              <w:pStyle w:val="11"/>
              <w:keepNext w:val="0"/>
              <w:keepLines w:val="0"/>
              <w:pageBreakBefore w:val="0"/>
              <w:widowControl w:val="0"/>
              <w:kinsoku/>
              <w:wordWrap/>
              <w:overflowPunct/>
              <w:topLinePunct w:val="0"/>
              <w:autoSpaceDE/>
              <w:autoSpaceDN/>
              <w:bidi w:val="0"/>
              <w:adjustRightInd/>
              <w:snapToGrid/>
              <w:spacing w:before="2" w:line="360" w:lineRule="auto"/>
              <w:ind w:left="108"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照20%递减</w:t>
            </w:r>
          </w:p>
        </w:tc>
      </w:tr>
      <w:tr>
        <w:tblPrEx>
          <w:tblLayout w:type="fixed"/>
          <w:tblCellMar>
            <w:top w:w="0" w:type="dxa"/>
            <w:left w:w="0" w:type="dxa"/>
            <w:bottom w:w="0" w:type="dxa"/>
            <w:right w:w="0" w:type="dxa"/>
          </w:tblCellMar>
        </w:tblPrEx>
        <w:trPr>
          <w:trHeight w:val="322" w:hRule="exact"/>
        </w:trPr>
        <w:tc>
          <w:tcPr>
            <w:tcW w:w="100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省级一等奖</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40</w:t>
            </w:r>
          </w:p>
        </w:tc>
        <w:tc>
          <w:tcPr>
            <w:tcW w:w="1983"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277"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926" w:hRule="exact"/>
        </w:trPr>
        <w:tc>
          <w:tcPr>
            <w:tcW w:w="1001"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0"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国家级一等奖</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3"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60</w:t>
            </w:r>
          </w:p>
        </w:tc>
        <w:tc>
          <w:tcPr>
            <w:tcW w:w="1983"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277"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949" w:hRule="exact"/>
        </w:trPr>
        <w:tc>
          <w:tcPr>
            <w:tcW w:w="1001"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98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6"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right="156"/>
              <w:jc w:val="right"/>
              <w:textAlignment w:val="auto"/>
              <w:rPr>
                <w:rFonts w:hint="eastAsia" w:ascii="宋体" w:hAnsi="宋体" w:eastAsia="宋体" w:cs="宋体"/>
                <w:sz w:val="21"/>
                <w:szCs w:val="21"/>
                <w:lang w:eastAsia="zh-CN"/>
              </w:rPr>
            </w:pPr>
            <w:r>
              <w:rPr>
                <w:rFonts w:hint="eastAsia" w:ascii="宋体" w:hAnsi="宋体" w:eastAsia="宋体" w:cs="宋体"/>
                <w:spacing w:val="-2"/>
                <w:sz w:val="21"/>
                <w:szCs w:val="21"/>
              </w:rPr>
              <w:t>创业</w:t>
            </w:r>
          </w:p>
        </w:tc>
        <w:tc>
          <w:tcPr>
            <w:tcW w:w="198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5" w:line="360" w:lineRule="auto"/>
              <w:ind w:left="657" w:right="104" w:hanging="55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注册公司并运行一年以上</w:t>
            </w:r>
          </w:p>
        </w:tc>
        <w:tc>
          <w:tcPr>
            <w:tcW w:w="99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60</w:t>
            </w:r>
          </w:p>
        </w:tc>
        <w:tc>
          <w:tcPr>
            <w:tcW w:w="1983"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1"/>
                <w:szCs w:val="21"/>
              </w:rPr>
            </w:pPr>
            <w:r>
              <w:rPr>
                <w:rFonts w:hint="eastAsia" w:ascii="宋体" w:hAnsi="宋体" w:eastAsia="宋体" w:cs="宋体"/>
                <w:sz w:val="21"/>
                <w:szCs w:val="21"/>
              </w:rPr>
              <w:t>由学生上传证明材</w:t>
            </w:r>
          </w:p>
          <w:p>
            <w:pPr>
              <w:pStyle w:val="11"/>
              <w:keepNext w:val="0"/>
              <w:keepLines w:val="0"/>
              <w:pageBreakBefore w:val="0"/>
              <w:widowControl w:val="0"/>
              <w:kinsoku/>
              <w:wordWrap/>
              <w:overflowPunct/>
              <w:topLinePunct w:val="0"/>
              <w:autoSpaceDE/>
              <w:autoSpaceDN/>
              <w:bidi w:val="0"/>
              <w:adjustRightInd/>
              <w:snapToGrid/>
              <w:spacing w:before="12" w:line="360" w:lineRule="auto"/>
              <w:ind w:left="106"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料</w:t>
            </w:r>
          </w:p>
          <w:p>
            <w:pPr>
              <w:pStyle w:val="11"/>
              <w:keepNext w:val="0"/>
              <w:keepLines w:val="0"/>
              <w:pageBreakBefore w:val="0"/>
              <w:widowControl w:val="0"/>
              <w:kinsoku/>
              <w:wordWrap/>
              <w:overflowPunct/>
              <w:topLinePunct w:val="0"/>
              <w:autoSpaceDE/>
              <w:autoSpaceDN/>
              <w:bidi w:val="0"/>
              <w:adjustRightInd/>
              <w:snapToGrid/>
              <w:spacing w:before="19" w:line="360" w:lineRule="auto"/>
              <w:ind w:left="106" w:right="0"/>
              <w:jc w:val="center"/>
              <w:textAlignment w:val="auto"/>
              <w:rPr>
                <w:rFonts w:hint="eastAsia" w:ascii="宋体" w:hAnsi="宋体" w:eastAsia="宋体" w:cs="宋体"/>
                <w:sz w:val="21"/>
                <w:szCs w:val="21"/>
                <w:lang w:eastAsia="zh-CN"/>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92" w:right="0"/>
              <w:jc w:val="left"/>
              <w:textAlignment w:val="auto"/>
              <w:rPr>
                <w:rFonts w:hint="eastAsia" w:ascii="宋体" w:hAnsi="宋体" w:eastAsia="宋体" w:cs="宋体"/>
                <w:sz w:val="21"/>
                <w:szCs w:val="21"/>
              </w:rPr>
            </w:pPr>
            <w:r>
              <w:rPr>
                <w:rFonts w:hint="eastAsia" w:ascii="宋体" w:hAnsi="宋体" w:eastAsia="宋体" w:cs="宋体"/>
                <w:sz w:val="21"/>
                <w:szCs w:val="21"/>
              </w:rPr>
              <w:t>可折算两</w:t>
            </w:r>
          </w:p>
          <w:p>
            <w:pPr>
              <w:pStyle w:val="11"/>
              <w:keepNext w:val="0"/>
              <w:keepLines w:val="0"/>
              <w:pageBreakBefore w:val="0"/>
              <w:widowControl w:val="0"/>
              <w:kinsoku/>
              <w:wordWrap/>
              <w:overflowPunct/>
              <w:topLinePunct w:val="0"/>
              <w:autoSpaceDE/>
              <w:autoSpaceDN/>
              <w:bidi w:val="0"/>
              <w:adjustRightInd/>
              <w:snapToGrid/>
              <w:spacing w:before="12" w:line="360" w:lineRule="auto"/>
              <w:ind w:left="523" w:right="190" w:hanging="332"/>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次社会实践</w:t>
            </w:r>
          </w:p>
        </w:tc>
      </w:tr>
    </w:tbl>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115"/>
        <w:jc w:val="left"/>
        <w:textAlignment w:val="auto"/>
        <w:rPr>
          <w:rFonts w:hint="eastAsia" w:ascii="宋体" w:hAnsi="宋体" w:eastAsia="宋体" w:cs="宋体"/>
          <w:w w:val="95"/>
          <w:sz w:val="24"/>
          <w:szCs w:val="24"/>
        </w:rPr>
      </w:pP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113" w:firstLine="456" w:firstLineChars="200"/>
        <w:jc w:val="left"/>
        <w:textAlignment w:val="auto"/>
        <w:outlineLvl w:val="9"/>
        <w:rPr>
          <w:rFonts w:hint="eastAsia" w:ascii="宋体" w:hAnsi="宋体" w:eastAsia="宋体" w:cs="宋体"/>
          <w:sz w:val="24"/>
          <w:szCs w:val="24"/>
        </w:rPr>
      </w:pPr>
      <w:r>
        <w:rPr>
          <w:rFonts w:hint="eastAsia" w:ascii="宋体" w:hAnsi="宋体" w:eastAsia="宋体" w:cs="宋体"/>
          <w:w w:val="95"/>
          <w:sz w:val="24"/>
          <w:szCs w:val="24"/>
        </w:rPr>
        <w:t>第十二条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课外活动参加与获奖类</w:t>
      </w: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115" w:firstLine="362" w:firstLineChars="200"/>
        <w:jc w:val="left"/>
        <w:textAlignment w:val="auto"/>
        <w:rPr>
          <w:rFonts w:hint="eastAsia" w:ascii="宋体" w:hAnsi="宋体" w:eastAsia="宋体" w:cs="宋体"/>
          <w:sz w:val="24"/>
          <w:szCs w:val="24"/>
        </w:rPr>
      </w:pPr>
      <w:r>
        <w:rPr>
          <w:rFonts w:hint="eastAsia" w:ascii="宋体" w:hAnsi="宋体" w:eastAsia="宋体" w:cs="宋体"/>
          <w:spacing w:val="-28"/>
          <w:w w:val="99"/>
          <w:sz w:val="24"/>
          <w:szCs w:val="24"/>
        </w:rPr>
        <w:t>1.课外活动参加与获奖类分为“思想引领”、“创新创业”、“文</w:t>
      </w:r>
      <w:r>
        <w:rPr>
          <w:rFonts w:hint="eastAsia" w:ascii="宋体" w:hAnsi="宋体" w:eastAsia="宋体" w:cs="宋体"/>
          <w:sz w:val="24"/>
          <w:szCs w:val="24"/>
        </w:rPr>
        <w:t>体艺术”和“志愿服务”等四个小类。学生在校期间参加通过PU系统发起的相关活动后可获得规定数量的实践学时。</w:t>
      </w: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115"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2.在校期间课外活动参加类所获实践学时不得少于60个，且100个学时封顶,每学期25个学时封顶。</w:t>
      </w: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115"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3.课外活动参加与获奖类中，个人获得院级、校级、省级、</w:t>
      </w:r>
      <w:r>
        <w:rPr>
          <w:rFonts w:hint="eastAsia" w:ascii="宋体" w:hAnsi="宋体" w:eastAsia="宋体" w:cs="宋体"/>
          <w:spacing w:val="-7"/>
          <w:sz w:val="24"/>
          <w:szCs w:val="24"/>
        </w:rPr>
        <w:t>国家级表彰的，根据级别认定实践学时；集体受到表彰的，其成员按上述标准减半认定实践学时。同时获得多项表彰的，取最高学时</w:t>
      </w:r>
      <w:r>
        <w:rPr>
          <w:rFonts w:hint="eastAsia" w:ascii="宋体" w:hAnsi="宋体" w:eastAsia="宋体" w:cs="宋体"/>
          <w:sz w:val="24"/>
          <w:szCs w:val="24"/>
        </w:rPr>
        <w:t>予以认定。(见下表)</w:t>
      </w:r>
    </w:p>
    <w:tbl>
      <w:tblPr>
        <w:tblStyle w:val="8"/>
        <w:tblW w:w="8225" w:type="dxa"/>
        <w:tblInd w:w="520" w:type="dxa"/>
        <w:tblLayout w:type="fixed"/>
        <w:tblCellMar>
          <w:top w:w="0" w:type="dxa"/>
          <w:left w:w="0" w:type="dxa"/>
          <w:bottom w:w="0" w:type="dxa"/>
          <w:right w:w="0" w:type="dxa"/>
        </w:tblCellMar>
      </w:tblPr>
      <w:tblGrid>
        <w:gridCol w:w="710"/>
        <w:gridCol w:w="709"/>
        <w:gridCol w:w="1560"/>
        <w:gridCol w:w="992"/>
        <w:gridCol w:w="2410"/>
        <w:gridCol w:w="1844"/>
      </w:tblGrid>
      <w:tr>
        <w:tblPrEx>
          <w:tblLayout w:type="fixed"/>
          <w:tblCellMar>
            <w:top w:w="0" w:type="dxa"/>
            <w:left w:w="0" w:type="dxa"/>
            <w:bottom w:w="0" w:type="dxa"/>
            <w:right w:w="0" w:type="dxa"/>
          </w:tblCellMar>
        </w:tblPrEx>
        <w:trPr>
          <w:trHeight w:val="322" w:hRule="exact"/>
        </w:trPr>
        <w:tc>
          <w:tcPr>
            <w:tcW w:w="71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29"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类别</w:t>
            </w:r>
          </w:p>
        </w:tc>
        <w:tc>
          <w:tcPr>
            <w:tcW w:w="709"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27"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状态</w:t>
            </w: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级别</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3"/>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学时/次</w:t>
            </w:r>
          </w:p>
        </w:tc>
        <w:tc>
          <w:tcPr>
            <w:tcW w:w="241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755"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证明材料</w:t>
            </w:r>
          </w:p>
        </w:tc>
        <w:tc>
          <w:tcPr>
            <w:tcW w:w="1844"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695"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备注</w:t>
            </w:r>
          </w:p>
        </w:tc>
      </w:tr>
      <w:tr>
        <w:tblPrEx>
          <w:tblLayout w:type="fixed"/>
          <w:tblCellMar>
            <w:top w:w="0" w:type="dxa"/>
            <w:left w:w="0" w:type="dxa"/>
            <w:bottom w:w="0" w:type="dxa"/>
            <w:right w:w="0" w:type="dxa"/>
          </w:tblCellMar>
        </w:tblPrEx>
        <w:trPr>
          <w:trHeight w:val="322" w:hRule="exact"/>
        </w:trPr>
        <w:tc>
          <w:tcPr>
            <w:tcW w:w="7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before="159" w:line="360" w:lineRule="auto"/>
              <w:ind w:left="129" w:right="127"/>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课外活动参加与获奖</w:t>
            </w:r>
          </w:p>
        </w:tc>
        <w:tc>
          <w:tcPr>
            <w:tcW w:w="709"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完成</w:t>
            </w:r>
          </w:p>
          <w:p>
            <w:pPr>
              <w:pStyle w:val="11"/>
              <w:keepNext w:val="0"/>
              <w:keepLines w:val="0"/>
              <w:pageBreakBefore w:val="0"/>
              <w:widowControl w:val="0"/>
              <w:kinsoku/>
              <w:wordWrap/>
              <w:overflowPunct/>
              <w:topLinePunct w:val="0"/>
              <w:autoSpaceDE/>
              <w:autoSpaceDN/>
              <w:bidi w:val="0"/>
              <w:adjustRightInd/>
              <w:snapToGrid/>
              <w:spacing w:before="19" w:line="360" w:lineRule="auto"/>
              <w:ind w:left="102" w:right="0"/>
              <w:jc w:val="center"/>
              <w:textAlignment w:val="auto"/>
              <w:rPr>
                <w:rFonts w:hint="eastAsia" w:ascii="宋体" w:hAnsi="宋体" w:eastAsia="宋体" w:cs="宋体"/>
                <w:sz w:val="21"/>
                <w:szCs w:val="21"/>
                <w:lang w:eastAsia="zh-CN"/>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院级(班级)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w:t>
            </w:r>
          </w:p>
        </w:tc>
        <w:tc>
          <w:tcPr>
            <w:tcW w:w="24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6" w:line="360" w:lineRule="auto"/>
              <w:ind w:left="179" w:right="181"/>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PU客户端刷码，系统自动统计</w:t>
            </w:r>
          </w:p>
          <w:p>
            <w:pPr>
              <w:pStyle w:val="11"/>
              <w:keepNext w:val="0"/>
              <w:keepLines w:val="0"/>
              <w:pageBreakBefore w:val="0"/>
              <w:widowControl w:val="0"/>
              <w:kinsoku/>
              <w:wordWrap/>
              <w:overflowPunct/>
              <w:topLinePunct w:val="0"/>
              <w:autoSpaceDE/>
              <w:autoSpaceDN/>
              <w:bidi w:val="0"/>
              <w:adjustRightInd/>
              <w:snapToGrid/>
              <w:spacing w:before="11" w:line="360" w:lineRule="auto"/>
              <w:ind w:left="104" w:right="0"/>
              <w:jc w:val="center"/>
              <w:textAlignment w:val="auto"/>
              <w:rPr>
                <w:rFonts w:hint="eastAsia" w:ascii="宋体" w:hAnsi="宋体" w:eastAsia="宋体" w:cs="宋体"/>
                <w:sz w:val="21"/>
                <w:szCs w:val="21"/>
                <w:lang w:eastAsia="zh-CN"/>
              </w:rPr>
            </w:pPr>
          </w:p>
        </w:tc>
        <w:tc>
          <w:tcPr>
            <w:tcW w:w="1844"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9" w:line="360" w:lineRule="auto"/>
              <w:ind w:left="146" w:right="142"/>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思想引领类活动实践学时上浮20%</w:t>
            </w: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校级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5</w:t>
            </w:r>
          </w:p>
        </w:tc>
        <w:tc>
          <w:tcPr>
            <w:tcW w:w="24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省级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10</w:t>
            </w:r>
          </w:p>
        </w:tc>
        <w:tc>
          <w:tcPr>
            <w:tcW w:w="24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4"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国家级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20</w:t>
            </w:r>
          </w:p>
        </w:tc>
        <w:tc>
          <w:tcPr>
            <w:tcW w:w="24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105"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获奖</w:t>
            </w:r>
          </w:p>
          <w:p>
            <w:pPr>
              <w:pStyle w:val="11"/>
              <w:keepNext w:val="0"/>
              <w:keepLines w:val="0"/>
              <w:pageBreakBefore w:val="0"/>
              <w:widowControl w:val="0"/>
              <w:kinsoku/>
              <w:wordWrap/>
              <w:overflowPunct/>
              <w:topLinePunct w:val="0"/>
              <w:autoSpaceDE/>
              <w:autoSpaceDN/>
              <w:bidi w:val="0"/>
              <w:adjustRightInd/>
              <w:snapToGrid/>
              <w:spacing w:before="18" w:line="360" w:lineRule="auto"/>
              <w:ind w:left="102" w:right="0"/>
              <w:jc w:val="center"/>
              <w:textAlignment w:val="auto"/>
              <w:rPr>
                <w:rFonts w:hint="eastAsia" w:ascii="宋体" w:hAnsi="宋体" w:eastAsia="宋体" w:cs="宋体"/>
                <w:sz w:val="21"/>
                <w:szCs w:val="21"/>
                <w:lang w:eastAsia="zh-CN"/>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院级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5</w:t>
            </w:r>
          </w:p>
        </w:tc>
        <w:tc>
          <w:tcPr>
            <w:tcW w:w="24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7" w:line="360" w:lineRule="auto"/>
              <w:ind w:right="0"/>
              <w:jc w:val="left"/>
              <w:textAlignment w:val="auto"/>
              <w:rPr>
                <w:rFonts w:hint="eastAsia" w:ascii="宋体" w:hAnsi="宋体" w:eastAsia="宋体" w:cs="宋体"/>
                <w:sz w:val="21"/>
                <w:szCs w:val="21"/>
              </w:rPr>
            </w:pPr>
          </w:p>
          <w:p>
            <w:pPr>
              <w:pStyle w:val="11"/>
              <w:keepNext w:val="0"/>
              <w:keepLines w:val="0"/>
              <w:pageBreakBefore w:val="0"/>
              <w:widowControl w:val="0"/>
              <w:kinsoku/>
              <w:wordWrap/>
              <w:overflowPunct/>
              <w:topLinePunct w:val="0"/>
              <w:autoSpaceDE/>
              <w:autoSpaceDN/>
              <w:bidi w:val="0"/>
              <w:adjustRightInd/>
              <w:snapToGrid/>
              <w:spacing w:line="360" w:lineRule="auto"/>
              <w:ind w:left="206"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学生上传证书电子版</w:t>
            </w:r>
          </w:p>
        </w:tc>
        <w:tc>
          <w:tcPr>
            <w:tcW w:w="1844"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9" w:line="360" w:lineRule="auto"/>
              <w:ind w:left="146" w:right="142"/>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思想引领类获奖实践学时上浮20%</w:t>
            </w: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校级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10</w:t>
            </w:r>
          </w:p>
        </w:tc>
        <w:tc>
          <w:tcPr>
            <w:tcW w:w="24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省级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20</w:t>
            </w:r>
          </w:p>
        </w:tc>
        <w:tc>
          <w:tcPr>
            <w:tcW w:w="24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709"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国家级</w:t>
            </w:r>
          </w:p>
        </w:tc>
        <w:tc>
          <w:tcPr>
            <w:tcW w:w="99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3"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30</w:t>
            </w:r>
          </w:p>
        </w:tc>
        <w:tc>
          <w:tcPr>
            <w:tcW w:w="24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844"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bl>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left="741" w:right="273" w:firstLine="456" w:firstLineChars="200"/>
        <w:jc w:val="left"/>
        <w:textAlignment w:val="auto"/>
        <w:outlineLvl w:val="9"/>
        <w:rPr>
          <w:rFonts w:hint="eastAsia" w:ascii="宋体" w:hAnsi="宋体" w:eastAsia="宋体" w:cs="宋体"/>
          <w:w w:val="95"/>
          <w:sz w:val="24"/>
          <w:szCs w:val="24"/>
        </w:rPr>
      </w:pP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272" w:firstLine="456" w:firstLineChars="200"/>
        <w:jc w:val="left"/>
        <w:textAlignment w:val="auto"/>
        <w:outlineLvl w:val="9"/>
        <w:rPr>
          <w:rFonts w:hint="eastAsia" w:ascii="宋体" w:hAnsi="宋体" w:eastAsia="宋体" w:cs="宋体"/>
          <w:sz w:val="24"/>
          <w:szCs w:val="24"/>
        </w:rPr>
      </w:pPr>
      <w:r>
        <w:rPr>
          <w:rFonts w:hint="eastAsia" w:ascii="宋体" w:hAnsi="宋体" w:eastAsia="宋体" w:cs="宋体"/>
          <w:w w:val="95"/>
          <w:sz w:val="24"/>
          <w:szCs w:val="24"/>
        </w:rPr>
        <w:t>第十四条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社会工作、荣誉与技能培训类</w:t>
      </w:r>
    </w:p>
    <w:p>
      <w:pPr>
        <w:keepNext w:val="0"/>
        <w:keepLines w:val="0"/>
        <w:pageBreakBefore w:val="0"/>
        <w:widowControl w:val="0"/>
        <w:tabs>
          <w:tab w:val="left" w:pos="2342"/>
        </w:tabs>
        <w:kinsoku/>
        <w:wordWrap/>
        <w:overflowPunct/>
        <w:topLinePunct w:val="0"/>
        <w:autoSpaceDE/>
        <w:autoSpaceDN/>
        <w:bidi w:val="0"/>
        <w:adjustRightInd/>
        <w:snapToGrid/>
        <w:spacing w:before="48" w:line="360" w:lineRule="auto"/>
        <w:ind w:right="272" w:firstLine="42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13"/>
          <w:sz w:val="24"/>
          <w:szCs w:val="24"/>
        </w:rPr>
        <w:t>1.团支委、班委、院级学生组织干事;院级团委委员、团支书、</w:t>
      </w:r>
      <w:r>
        <w:rPr>
          <w:rFonts w:hint="eastAsia" w:ascii="宋体" w:hAnsi="宋体" w:eastAsia="宋体" w:cs="宋体"/>
          <w:spacing w:val="-7"/>
          <w:w w:val="95"/>
          <w:sz w:val="24"/>
          <w:szCs w:val="24"/>
        </w:rPr>
        <w:t>班长、院级学生社团负责人、院级学生组织各部负责人、校级学生</w:t>
      </w:r>
      <w:r>
        <w:rPr>
          <w:rFonts w:hint="eastAsia" w:ascii="宋体" w:hAnsi="宋体" w:eastAsia="宋体" w:cs="宋体"/>
          <w:spacing w:val="-2"/>
          <w:sz w:val="24"/>
          <w:szCs w:val="24"/>
        </w:rPr>
        <w:t>组织干事;校级学生组织各部负责人、院级组织主席团成员、校级</w:t>
      </w:r>
      <w:r>
        <w:rPr>
          <w:rFonts w:hint="eastAsia" w:ascii="宋体" w:hAnsi="宋体" w:eastAsia="宋体" w:cs="宋体"/>
          <w:spacing w:val="4"/>
          <w:w w:val="95"/>
          <w:sz w:val="24"/>
          <w:szCs w:val="24"/>
        </w:rPr>
        <w:t>学生社团负责人;校级组织主席团成员,经相关单位考核合格，分</w:t>
      </w:r>
      <w:r>
        <w:rPr>
          <w:rFonts w:hint="eastAsia" w:ascii="宋体" w:hAnsi="宋体" w:eastAsia="宋体" w:cs="宋体"/>
          <w:spacing w:val="3"/>
          <w:sz w:val="24"/>
          <w:szCs w:val="24"/>
        </w:rPr>
        <w:t>别按学期给予实践学时。同一学期兼多职的，按最高学时认定一</w:t>
      </w:r>
      <w:r>
        <w:rPr>
          <w:rFonts w:hint="eastAsia" w:ascii="宋体" w:hAnsi="宋体" w:eastAsia="宋体" w:cs="宋体"/>
          <w:sz w:val="24"/>
          <w:szCs w:val="24"/>
        </w:rPr>
        <w:t>项。</w:t>
      </w:r>
    </w:p>
    <w:p>
      <w:pPr>
        <w:keepNext w:val="0"/>
        <w:keepLines w:val="0"/>
        <w:pageBreakBefore w:val="0"/>
        <w:widowControl w:val="0"/>
        <w:kinsoku/>
        <w:wordWrap/>
        <w:overflowPunct/>
        <w:topLinePunct w:val="0"/>
        <w:autoSpaceDE/>
        <w:autoSpaceDN/>
        <w:bidi w:val="0"/>
        <w:adjustRightInd/>
        <w:snapToGrid/>
        <w:spacing w:before="48" w:line="360" w:lineRule="auto"/>
        <w:ind w:right="272"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2.在大学生艺术团、礼仪队、运动队等校级竞赛组织(由主管</w:t>
      </w:r>
      <w:r>
        <w:rPr>
          <w:rFonts w:hint="eastAsia" w:ascii="宋体" w:hAnsi="宋体" w:eastAsia="宋体" w:cs="宋体"/>
          <w:sz w:val="24"/>
          <w:szCs w:val="24"/>
        </w:rPr>
        <w:t>部门提供证明)服务期满1</w:t>
      </w:r>
      <w:r>
        <w:rPr>
          <w:rFonts w:hint="eastAsia" w:ascii="宋体" w:hAnsi="宋体" w:eastAsia="宋体" w:cs="宋体"/>
          <w:spacing w:val="-23"/>
          <w:sz w:val="24"/>
          <w:szCs w:val="24"/>
        </w:rPr>
        <w:t>年、2年、3</w:t>
      </w:r>
      <w:r>
        <w:rPr>
          <w:rFonts w:hint="eastAsia" w:ascii="宋体" w:hAnsi="宋体" w:eastAsia="宋体" w:cs="宋体"/>
          <w:spacing w:val="-6"/>
          <w:sz w:val="24"/>
          <w:szCs w:val="24"/>
        </w:rPr>
        <w:t>年，经相关单位考核合格，</w:t>
      </w:r>
      <w:r>
        <w:rPr>
          <w:rFonts w:hint="eastAsia" w:ascii="宋体" w:hAnsi="宋体" w:eastAsia="宋体" w:cs="宋体"/>
          <w:spacing w:val="-7"/>
          <w:w w:val="99"/>
          <w:sz w:val="24"/>
          <w:szCs w:val="24"/>
        </w:rPr>
        <w:t>分别给予实践学时（学生组织负责人不参加累计）。</w:t>
      </w:r>
    </w:p>
    <w:p>
      <w:pPr>
        <w:keepNext w:val="0"/>
        <w:keepLines w:val="0"/>
        <w:pageBreakBefore w:val="0"/>
        <w:widowControl w:val="0"/>
        <w:kinsoku/>
        <w:wordWrap/>
        <w:overflowPunct/>
        <w:topLinePunct w:val="0"/>
        <w:autoSpaceDE/>
        <w:autoSpaceDN/>
        <w:bidi w:val="0"/>
        <w:adjustRightInd/>
        <w:snapToGrid/>
        <w:spacing w:before="48" w:line="360" w:lineRule="auto"/>
        <w:ind w:left="102" w:right="272" w:firstLine="42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7"/>
          <w:w w:val="95"/>
          <w:sz w:val="24"/>
          <w:szCs w:val="24"/>
        </w:rPr>
        <w:t>3.个人获得院级、校级、省级、国家级荣誉称号，分别给予实</w:t>
      </w:r>
      <w:r>
        <w:rPr>
          <w:rFonts w:hint="eastAsia" w:ascii="宋体" w:hAnsi="宋体" w:eastAsia="宋体" w:cs="宋体"/>
          <w:sz w:val="24"/>
          <w:szCs w:val="24"/>
        </w:rPr>
        <w:t>践学时。</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7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1"/>
          <w:w w:val="99"/>
          <w:sz w:val="24"/>
          <w:szCs w:val="24"/>
        </w:rPr>
        <w:t>4.</w:t>
      </w:r>
      <w:r>
        <w:rPr>
          <w:rFonts w:hint="eastAsia" w:ascii="宋体" w:hAnsi="宋体" w:eastAsia="宋体" w:cs="宋体"/>
          <w:w w:val="99"/>
          <w:sz w:val="24"/>
          <w:szCs w:val="24"/>
        </w:rPr>
        <w:t>所在</w:t>
      </w:r>
      <w:r>
        <w:rPr>
          <w:rFonts w:hint="eastAsia" w:ascii="宋体" w:hAnsi="宋体" w:eastAsia="宋体" w:cs="宋体"/>
          <w:spacing w:val="2"/>
          <w:w w:val="99"/>
          <w:sz w:val="24"/>
          <w:szCs w:val="24"/>
        </w:rPr>
        <w:t>班</w:t>
      </w:r>
      <w:r>
        <w:rPr>
          <w:rFonts w:hint="eastAsia" w:ascii="宋体" w:hAnsi="宋体" w:eastAsia="宋体" w:cs="宋体"/>
          <w:w w:val="99"/>
          <w:sz w:val="24"/>
          <w:szCs w:val="24"/>
        </w:rPr>
        <w:t>团组织</w:t>
      </w:r>
      <w:r>
        <w:rPr>
          <w:rFonts w:hint="eastAsia" w:ascii="宋体" w:hAnsi="宋体" w:eastAsia="宋体" w:cs="宋体"/>
          <w:spacing w:val="2"/>
          <w:w w:val="99"/>
          <w:sz w:val="24"/>
          <w:szCs w:val="24"/>
        </w:rPr>
        <w:t>获</w:t>
      </w:r>
      <w:r>
        <w:rPr>
          <w:rFonts w:hint="eastAsia" w:ascii="宋体" w:hAnsi="宋体" w:eastAsia="宋体" w:cs="宋体"/>
          <w:w w:val="99"/>
          <w:sz w:val="24"/>
          <w:szCs w:val="24"/>
        </w:rPr>
        <w:t>得校</w:t>
      </w:r>
      <w:r>
        <w:rPr>
          <w:rFonts w:hint="eastAsia" w:ascii="宋体" w:hAnsi="宋体" w:eastAsia="宋体" w:cs="宋体"/>
          <w:spacing w:val="-104"/>
          <w:w w:val="99"/>
          <w:sz w:val="24"/>
          <w:szCs w:val="24"/>
        </w:rPr>
        <w:t>级</w:t>
      </w:r>
      <w:r>
        <w:rPr>
          <w:rFonts w:hint="eastAsia" w:ascii="宋体" w:hAnsi="宋体" w:eastAsia="宋体" w:cs="宋体"/>
          <w:w w:val="99"/>
          <w:sz w:val="24"/>
          <w:szCs w:val="24"/>
        </w:rPr>
        <w:t>（</w:t>
      </w:r>
      <w:r>
        <w:rPr>
          <w:rFonts w:hint="eastAsia" w:ascii="宋体" w:hAnsi="宋体" w:eastAsia="宋体" w:cs="宋体"/>
          <w:spacing w:val="2"/>
          <w:w w:val="99"/>
          <w:sz w:val="24"/>
          <w:szCs w:val="24"/>
        </w:rPr>
        <w:t>仅</w:t>
      </w:r>
      <w:r>
        <w:rPr>
          <w:rFonts w:hint="eastAsia" w:ascii="宋体" w:hAnsi="宋体" w:eastAsia="宋体" w:cs="宋体"/>
          <w:w w:val="99"/>
          <w:sz w:val="24"/>
          <w:szCs w:val="24"/>
        </w:rPr>
        <w:t>限优</w:t>
      </w:r>
      <w:r>
        <w:rPr>
          <w:rFonts w:hint="eastAsia" w:ascii="宋体" w:hAnsi="宋体" w:eastAsia="宋体" w:cs="宋体"/>
          <w:spacing w:val="2"/>
          <w:w w:val="99"/>
          <w:sz w:val="24"/>
          <w:szCs w:val="24"/>
        </w:rPr>
        <w:t>秀</w:t>
      </w:r>
      <w:r>
        <w:rPr>
          <w:rFonts w:hint="eastAsia" w:ascii="宋体" w:hAnsi="宋体" w:eastAsia="宋体" w:cs="宋体"/>
          <w:w w:val="99"/>
          <w:sz w:val="24"/>
          <w:szCs w:val="24"/>
        </w:rPr>
        <w:t>班集</w:t>
      </w:r>
      <w:r>
        <w:rPr>
          <w:rFonts w:hint="eastAsia" w:ascii="宋体" w:hAnsi="宋体" w:eastAsia="宋体" w:cs="宋体"/>
          <w:spacing w:val="2"/>
          <w:w w:val="99"/>
          <w:sz w:val="24"/>
          <w:szCs w:val="24"/>
        </w:rPr>
        <w:t>体</w:t>
      </w:r>
      <w:r>
        <w:rPr>
          <w:rFonts w:hint="eastAsia" w:ascii="宋体" w:hAnsi="宋体" w:eastAsia="宋体" w:cs="宋体"/>
          <w:w w:val="99"/>
          <w:sz w:val="24"/>
          <w:szCs w:val="24"/>
        </w:rPr>
        <w:t>班</w:t>
      </w:r>
      <w:r>
        <w:rPr>
          <w:rFonts w:hint="eastAsia" w:ascii="宋体" w:hAnsi="宋体" w:eastAsia="宋体" w:cs="宋体"/>
          <w:spacing w:val="-104"/>
          <w:w w:val="99"/>
          <w:sz w:val="24"/>
          <w:szCs w:val="24"/>
        </w:rPr>
        <w:t>、</w:t>
      </w:r>
      <w:r>
        <w:rPr>
          <w:rFonts w:hint="eastAsia" w:ascii="宋体" w:hAnsi="宋体" w:eastAsia="宋体" w:cs="宋体"/>
          <w:w w:val="99"/>
          <w:sz w:val="24"/>
          <w:szCs w:val="24"/>
        </w:rPr>
        <w:t>红旗</w:t>
      </w:r>
      <w:r>
        <w:rPr>
          <w:rFonts w:hint="eastAsia" w:ascii="宋体" w:hAnsi="宋体" w:eastAsia="宋体" w:cs="宋体"/>
          <w:spacing w:val="2"/>
          <w:w w:val="99"/>
          <w:sz w:val="24"/>
          <w:szCs w:val="24"/>
        </w:rPr>
        <w:t>团</w:t>
      </w:r>
      <w:r>
        <w:rPr>
          <w:rFonts w:hint="eastAsia" w:ascii="宋体" w:hAnsi="宋体" w:eastAsia="宋体" w:cs="宋体"/>
          <w:w w:val="99"/>
          <w:sz w:val="24"/>
          <w:szCs w:val="24"/>
        </w:rPr>
        <w:t>支</w:t>
      </w:r>
      <w:r>
        <w:rPr>
          <w:rFonts w:hint="eastAsia" w:ascii="宋体" w:hAnsi="宋体" w:eastAsia="宋体" w:cs="宋体"/>
          <w:spacing w:val="2"/>
          <w:w w:val="99"/>
          <w:sz w:val="24"/>
          <w:szCs w:val="24"/>
        </w:rPr>
        <w:t>部</w:t>
      </w:r>
      <w:r>
        <w:rPr>
          <w:rFonts w:hint="eastAsia" w:ascii="宋体" w:hAnsi="宋体" w:eastAsia="宋体" w:cs="宋体"/>
          <w:spacing w:val="-161"/>
          <w:w w:val="99"/>
          <w:sz w:val="24"/>
          <w:szCs w:val="24"/>
        </w:rPr>
        <w:t>）</w:t>
      </w:r>
      <w:r>
        <w:rPr>
          <w:rFonts w:hint="eastAsia" w:ascii="宋体" w:hAnsi="宋体" w:eastAsia="宋体" w:cs="宋体"/>
          <w:w w:val="99"/>
          <w:sz w:val="24"/>
          <w:szCs w:val="24"/>
        </w:rPr>
        <w:t>、</w:t>
      </w:r>
      <w:r>
        <w:rPr>
          <w:rFonts w:hint="eastAsia" w:ascii="宋体" w:hAnsi="宋体" w:eastAsia="宋体" w:cs="宋体"/>
          <w:spacing w:val="-7"/>
          <w:sz w:val="24"/>
          <w:szCs w:val="24"/>
        </w:rPr>
        <w:t>省级、国家级表彰的，主要班干部,班委成员,其他成员给予实践学</w:t>
      </w:r>
      <w:r>
        <w:rPr>
          <w:rFonts w:hint="eastAsia" w:ascii="宋体" w:hAnsi="宋体" w:eastAsia="宋体" w:cs="宋体"/>
          <w:sz w:val="24"/>
          <w:szCs w:val="24"/>
        </w:rPr>
        <w:t>时.</w:t>
      </w:r>
    </w:p>
    <w:p>
      <w:pPr>
        <w:keepNext w:val="0"/>
        <w:keepLines w:val="0"/>
        <w:pageBreakBefore w:val="0"/>
        <w:widowControl w:val="0"/>
        <w:kinsoku/>
        <w:wordWrap/>
        <w:overflowPunct/>
        <w:topLinePunct w:val="0"/>
        <w:autoSpaceDE/>
        <w:autoSpaceDN/>
        <w:bidi w:val="0"/>
        <w:adjustRightInd/>
        <w:snapToGrid/>
        <w:spacing w:before="0" w:line="360" w:lineRule="auto"/>
        <w:ind w:righ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5.在校期间获得各类专业技能与职业资格证书，计5个实践学时/项，且30个学时封顶。(见下表)</w:t>
      </w:r>
    </w:p>
    <w:p>
      <w:pPr>
        <w:keepNext w:val="0"/>
        <w:keepLines w:val="0"/>
        <w:pageBreakBefore w:val="0"/>
        <w:widowControl w:val="0"/>
        <w:kinsoku/>
        <w:wordWrap/>
        <w:overflowPunct/>
        <w:topLinePunct w:val="0"/>
        <w:autoSpaceDE/>
        <w:autoSpaceDN/>
        <w:bidi w:val="0"/>
        <w:adjustRightInd/>
        <w:snapToGrid/>
        <w:spacing w:before="10" w:line="360" w:lineRule="auto"/>
        <w:textAlignment w:val="auto"/>
        <w:rPr>
          <w:rFonts w:hint="eastAsia" w:ascii="宋体" w:hAnsi="宋体" w:eastAsia="宋体" w:cs="宋体"/>
          <w:sz w:val="24"/>
          <w:szCs w:val="24"/>
        </w:rPr>
      </w:pPr>
    </w:p>
    <w:tbl>
      <w:tblPr>
        <w:tblStyle w:val="8"/>
        <w:tblW w:w="8219" w:type="dxa"/>
        <w:tblInd w:w="522" w:type="dxa"/>
        <w:tblLayout w:type="fixed"/>
        <w:tblCellMar>
          <w:top w:w="0" w:type="dxa"/>
          <w:left w:w="0" w:type="dxa"/>
          <w:bottom w:w="0" w:type="dxa"/>
          <w:right w:w="0" w:type="dxa"/>
        </w:tblCellMar>
      </w:tblPr>
      <w:tblGrid>
        <w:gridCol w:w="989"/>
        <w:gridCol w:w="850"/>
        <w:gridCol w:w="2552"/>
        <w:gridCol w:w="1135"/>
        <w:gridCol w:w="1416"/>
        <w:gridCol w:w="1277"/>
      </w:tblGrid>
      <w:tr>
        <w:tblPrEx>
          <w:tblLayout w:type="fixed"/>
          <w:tblCellMar>
            <w:top w:w="0" w:type="dxa"/>
            <w:left w:w="0" w:type="dxa"/>
            <w:bottom w:w="0" w:type="dxa"/>
            <w:right w:w="0" w:type="dxa"/>
          </w:tblCellMar>
        </w:tblPrEx>
        <w:trPr>
          <w:trHeight w:val="322" w:hRule="exact"/>
        </w:trPr>
        <w:tc>
          <w:tcPr>
            <w:tcW w:w="989"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268"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类别</w:t>
            </w:r>
          </w:p>
        </w:tc>
        <w:tc>
          <w:tcPr>
            <w:tcW w:w="85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91"/>
              <w:jc w:val="right"/>
              <w:textAlignment w:val="auto"/>
              <w:rPr>
                <w:rFonts w:hint="eastAsia" w:ascii="宋体" w:hAnsi="宋体" w:eastAsia="宋体" w:cs="宋体"/>
                <w:sz w:val="18"/>
                <w:szCs w:val="18"/>
                <w:lang w:eastAsia="zh-CN"/>
              </w:rPr>
            </w:pPr>
            <w:r>
              <w:rPr>
                <w:rFonts w:hint="eastAsia" w:ascii="宋体" w:hAnsi="宋体" w:eastAsia="宋体" w:cs="宋体"/>
                <w:spacing w:val="-1"/>
                <w:sz w:val="18"/>
                <w:szCs w:val="18"/>
              </w:rPr>
              <w:t>状态</w:t>
            </w: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级别</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学时/次</w:t>
            </w:r>
          </w:p>
        </w:tc>
        <w:tc>
          <w:tcPr>
            <w:tcW w:w="1416"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25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证明材料</w:t>
            </w: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8"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备注</w:t>
            </w:r>
          </w:p>
        </w:tc>
      </w:tr>
      <w:tr>
        <w:tblPrEx>
          <w:tblLayout w:type="fixed"/>
          <w:tblCellMar>
            <w:top w:w="0" w:type="dxa"/>
            <w:left w:w="0" w:type="dxa"/>
            <w:bottom w:w="0" w:type="dxa"/>
            <w:right w:w="0" w:type="dxa"/>
          </w:tblCellMar>
        </w:tblPrEx>
        <w:trPr>
          <w:trHeight w:val="634" w:hRule="exact"/>
        </w:trPr>
        <w:tc>
          <w:tcPr>
            <w:tcW w:w="989"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7"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58" w:right="156"/>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社会工作</w:t>
            </w:r>
          </w:p>
          <w:p>
            <w:pPr>
              <w:pStyle w:val="11"/>
              <w:keepNext w:val="0"/>
              <w:keepLines w:val="0"/>
              <w:pageBreakBefore w:val="0"/>
              <w:widowControl w:val="0"/>
              <w:kinsoku/>
              <w:wordWrap/>
              <w:overflowPunct/>
              <w:topLinePunct w:val="0"/>
              <w:autoSpaceDE/>
              <w:autoSpaceDN/>
              <w:bidi w:val="0"/>
              <w:adjustRightInd/>
              <w:snapToGrid/>
              <w:spacing w:before="9"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7"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完成</w:t>
            </w:r>
          </w:p>
          <w:p>
            <w:pPr>
              <w:pStyle w:val="11"/>
              <w:keepNext w:val="0"/>
              <w:keepLines w:val="0"/>
              <w:pageBreakBefore w:val="0"/>
              <w:widowControl w:val="0"/>
              <w:kinsoku/>
              <w:wordWrap/>
              <w:overflowPunct/>
              <w:topLinePunct w:val="0"/>
              <w:autoSpaceDE/>
              <w:autoSpaceDN/>
              <w:bidi w:val="0"/>
              <w:adjustRightInd/>
              <w:snapToGrid/>
              <w:spacing w:before="18"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团支委、班委、院级学</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生组织干事</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4"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4/学期</w:t>
            </w:r>
          </w:p>
        </w:tc>
        <w:tc>
          <w:tcPr>
            <w:tcW w:w="1416"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5"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批量输入</w:t>
            </w:r>
          </w:p>
          <w:p>
            <w:pPr>
              <w:pStyle w:val="11"/>
              <w:keepNext w:val="0"/>
              <w:keepLines w:val="0"/>
              <w:pageBreakBefore w:val="0"/>
              <w:widowControl w:val="0"/>
              <w:kinsoku/>
              <w:wordWrap/>
              <w:overflowPunct/>
              <w:topLinePunct w:val="0"/>
              <w:autoSpaceDE/>
              <w:autoSpaceDN/>
              <w:bidi w:val="0"/>
              <w:adjustRightInd/>
              <w:snapToGrid/>
              <w:spacing w:before="18" w:line="24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5" w:right="0"/>
              <w:jc w:val="center"/>
              <w:textAlignment w:val="auto"/>
              <w:rPr>
                <w:rFonts w:hint="eastAsia" w:ascii="宋体" w:hAnsi="宋体" w:eastAsia="宋体" w:cs="宋体"/>
                <w:sz w:val="18"/>
                <w:szCs w:val="18"/>
                <w:lang w:eastAsia="zh-CN"/>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1570"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院级团委委员、团支</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70" w:right="166"/>
              <w:jc w:val="center"/>
              <w:textAlignment w:val="auto"/>
              <w:rPr>
                <w:rFonts w:hint="eastAsia" w:ascii="宋体" w:hAnsi="宋体" w:eastAsia="宋体" w:cs="宋体"/>
                <w:sz w:val="18"/>
                <w:szCs w:val="18"/>
                <w:lang w:eastAsia="zh-CN"/>
              </w:rPr>
            </w:pPr>
            <w:r>
              <w:rPr>
                <w:rFonts w:hint="eastAsia" w:ascii="宋体" w:hAnsi="宋体" w:eastAsia="宋体" w:cs="宋体"/>
                <w:spacing w:val="-1"/>
                <w:sz w:val="18"/>
                <w:szCs w:val="18"/>
              </w:rPr>
              <w:t>书、班长、院级学生社团负责人、院级学生组织各部负责人、校级学</w:t>
            </w:r>
            <w:r>
              <w:rPr>
                <w:rFonts w:hint="eastAsia" w:ascii="宋体" w:hAnsi="宋体" w:eastAsia="宋体" w:cs="宋体"/>
                <w:sz w:val="18"/>
                <w:szCs w:val="18"/>
              </w:rPr>
              <w:t>生组织干事</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4"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8/学期</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1258"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校级学生组织各部负责</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70" w:right="166"/>
              <w:jc w:val="center"/>
              <w:textAlignment w:val="auto"/>
              <w:rPr>
                <w:rFonts w:hint="eastAsia" w:ascii="宋体" w:hAnsi="宋体" w:eastAsia="宋体" w:cs="宋体"/>
                <w:sz w:val="18"/>
                <w:szCs w:val="18"/>
                <w:lang w:eastAsia="zh-CN"/>
              </w:rPr>
            </w:pPr>
            <w:r>
              <w:rPr>
                <w:rFonts w:hint="eastAsia" w:ascii="宋体" w:hAnsi="宋体" w:eastAsia="宋体" w:cs="宋体"/>
                <w:spacing w:val="-1"/>
                <w:sz w:val="18"/>
                <w:szCs w:val="18"/>
              </w:rPr>
              <w:t>人、院级组织主席团成员、校级学生社团负责</w:t>
            </w:r>
            <w:r>
              <w:rPr>
                <w:rFonts w:hint="eastAsia" w:ascii="宋体" w:hAnsi="宋体" w:eastAsia="宋体" w:cs="宋体"/>
                <w:sz w:val="18"/>
                <w:szCs w:val="18"/>
              </w:rPr>
              <w:t>人</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5"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12/学期</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58"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324"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校级组织主席团成员</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16/学期</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634"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大学生艺术团、礼仪</w:t>
            </w:r>
          </w:p>
          <w:p>
            <w:pPr>
              <w:pStyle w:val="11"/>
              <w:keepNext w:val="0"/>
              <w:keepLines w:val="0"/>
              <w:pageBreakBefore w:val="0"/>
              <w:widowControl w:val="0"/>
              <w:kinsoku/>
              <w:wordWrap/>
              <w:overflowPunct/>
              <w:topLinePunct w:val="0"/>
              <w:autoSpaceDE/>
              <w:autoSpaceDN/>
              <w:bidi w:val="0"/>
              <w:adjustRightInd/>
              <w:snapToGrid/>
              <w:spacing w:before="9"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队、运动队成员满1</w:t>
            </w:r>
            <w:r>
              <w:rPr>
                <w:rFonts w:hint="eastAsia" w:ascii="宋体" w:hAnsi="宋体" w:eastAsia="宋体" w:cs="宋体"/>
                <w:spacing w:val="-3"/>
                <w:sz w:val="18"/>
                <w:szCs w:val="18"/>
              </w:rPr>
              <w:t>年</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20</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634"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大学生艺术团、礼仪</w:t>
            </w:r>
          </w:p>
          <w:p>
            <w:pPr>
              <w:pStyle w:val="11"/>
              <w:keepNext w:val="0"/>
              <w:keepLines w:val="0"/>
              <w:pageBreakBefore w:val="0"/>
              <w:widowControl w:val="0"/>
              <w:kinsoku/>
              <w:wordWrap/>
              <w:overflowPunct/>
              <w:topLinePunct w:val="0"/>
              <w:autoSpaceDE/>
              <w:autoSpaceDN/>
              <w:bidi w:val="0"/>
              <w:adjustRightInd/>
              <w:snapToGrid/>
              <w:spacing w:before="9"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队、运动队成员满2</w:t>
            </w:r>
            <w:r>
              <w:rPr>
                <w:rFonts w:hint="eastAsia" w:ascii="宋体" w:hAnsi="宋体" w:eastAsia="宋体" w:cs="宋体"/>
                <w:spacing w:val="-3"/>
                <w:sz w:val="18"/>
                <w:szCs w:val="18"/>
              </w:rPr>
              <w:t>年</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40</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634" w:hRule="exact"/>
        </w:trPr>
        <w:tc>
          <w:tcPr>
            <w:tcW w:w="989"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 w:right="0"/>
              <w:jc w:val="center"/>
              <w:textAlignment w:val="auto"/>
              <w:rPr>
                <w:rFonts w:hint="eastAsia" w:ascii="宋体" w:hAnsi="宋体" w:eastAsia="宋体" w:cs="宋体"/>
                <w:sz w:val="18"/>
                <w:szCs w:val="18"/>
              </w:rPr>
            </w:pPr>
            <w:r>
              <w:rPr>
                <w:rFonts w:hint="eastAsia" w:ascii="宋体" w:hAnsi="宋体" w:eastAsia="宋体" w:cs="宋体"/>
                <w:sz w:val="18"/>
                <w:szCs w:val="18"/>
              </w:rPr>
              <w:t>大学生艺术团、礼仪队</w:t>
            </w:r>
          </w:p>
          <w:p>
            <w:pPr>
              <w:pStyle w:val="11"/>
              <w:keepNext w:val="0"/>
              <w:keepLines w:val="0"/>
              <w:pageBreakBefore w:val="0"/>
              <w:widowControl w:val="0"/>
              <w:kinsoku/>
              <w:wordWrap/>
              <w:overflowPunct/>
              <w:topLinePunct w:val="0"/>
              <w:autoSpaceDE/>
              <w:autoSpaceDN/>
              <w:bidi w:val="0"/>
              <w:adjustRightInd/>
              <w:snapToGrid/>
              <w:spacing w:before="9"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运动队成员满3</w:t>
            </w:r>
            <w:r>
              <w:rPr>
                <w:rFonts w:hint="eastAsia" w:ascii="宋体" w:hAnsi="宋体" w:eastAsia="宋体" w:cs="宋体"/>
                <w:spacing w:val="-3"/>
                <w:sz w:val="18"/>
                <w:szCs w:val="18"/>
              </w:rPr>
              <w:t>年</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60</w:t>
            </w:r>
          </w:p>
        </w:tc>
        <w:tc>
          <w:tcPr>
            <w:tcW w:w="1416"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4"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322" w:hRule="exact"/>
        </w:trPr>
        <w:tc>
          <w:tcPr>
            <w:tcW w:w="989"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0"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58" w:right="156"/>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荣誉称号</w:t>
            </w:r>
          </w:p>
          <w:p>
            <w:pPr>
              <w:pStyle w:val="11"/>
              <w:keepNext w:val="0"/>
              <w:keepLines w:val="0"/>
              <w:pageBreakBefore w:val="0"/>
              <w:widowControl w:val="0"/>
              <w:kinsoku/>
              <w:wordWrap/>
              <w:overflowPunct/>
              <w:topLinePunct w:val="0"/>
              <w:autoSpaceDE/>
              <w:autoSpaceDN/>
              <w:bidi w:val="0"/>
              <w:adjustRightInd/>
              <w:snapToGrid/>
              <w:spacing w:before="9"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10" w:right="0"/>
              <w:jc w:val="center"/>
              <w:textAlignment w:val="auto"/>
              <w:rPr>
                <w:rFonts w:hint="eastAsia" w:ascii="宋体" w:hAnsi="宋体" w:eastAsia="宋体" w:cs="宋体"/>
                <w:sz w:val="18"/>
                <w:szCs w:val="18"/>
                <w:lang w:eastAsia="zh-CN"/>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个人</w:t>
            </w:r>
          </w:p>
          <w:p>
            <w:pPr>
              <w:pStyle w:val="11"/>
              <w:keepNext w:val="0"/>
              <w:keepLines w:val="0"/>
              <w:pageBreakBefore w:val="0"/>
              <w:widowControl w:val="0"/>
              <w:kinsoku/>
              <w:wordWrap/>
              <w:overflowPunct/>
              <w:topLinePunct w:val="0"/>
              <w:autoSpaceDE/>
              <w:autoSpaceDN/>
              <w:bidi w:val="0"/>
              <w:adjustRightInd/>
              <w:snapToGrid/>
              <w:spacing w:before="18"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院级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5</w:t>
            </w:r>
          </w:p>
        </w:tc>
        <w:tc>
          <w:tcPr>
            <w:tcW w:w="1416"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sz w:val="18"/>
                <w:szCs w:val="18"/>
              </w:rPr>
            </w:pPr>
            <w:r>
              <w:rPr>
                <w:rFonts w:hint="eastAsia" w:ascii="宋体" w:hAnsi="宋体" w:eastAsia="宋体" w:cs="宋体"/>
                <w:sz w:val="18"/>
                <w:szCs w:val="18"/>
              </w:rPr>
              <w:t>院级、校级</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51" w:right="151"/>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批量输入，其他由学生上传证书电子版个人申请</w:t>
            </w: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322"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10</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324"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省级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20</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914"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5"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国家级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50</w:t>
            </w:r>
          </w:p>
        </w:tc>
        <w:tc>
          <w:tcPr>
            <w:tcW w:w="1416"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987"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9"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3"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集体</w:t>
            </w:r>
          </w:p>
          <w:p>
            <w:pPr>
              <w:pStyle w:val="11"/>
              <w:keepNext w:val="0"/>
              <w:keepLines w:val="0"/>
              <w:pageBreakBefore w:val="0"/>
              <w:widowControl w:val="0"/>
              <w:kinsoku/>
              <w:wordWrap/>
              <w:overflowPunct/>
              <w:topLinePunct w:val="0"/>
              <w:autoSpaceDE/>
              <w:autoSpaceDN/>
              <w:bidi w:val="0"/>
              <w:adjustRightInd/>
              <w:snapToGrid/>
              <w:spacing w:before="18"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240" w:lineRule="auto"/>
              <w:ind w:left="106" w:right="0"/>
              <w:jc w:val="center"/>
              <w:textAlignment w:val="auto"/>
              <w:rPr>
                <w:rFonts w:hint="eastAsia" w:ascii="宋体" w:hAnsi="宋体" w:eastAsia="宋体" w:cs="宋体"/>
                <w:sz w:val="18"/>
                <w:szCs w:val="18"/>
                <w:lang w:eastAsia="zh-CN"/>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4"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1"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10</w:t>
            </w:r>
          </w:p>
        </w:tc>
        <w:tc>
          <w:tcPr>
            <w:tcW w:w="1416"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8" w:line="240" w:lineRule="auto"/>
              <w:ind w:left="151" w:right="151"/>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院级、校级批量输入，其他由学生上传证书电子版个人申请</w:t>
            </w:r>
          </w:p>
        </w:tc>
        <w:tc>
          <w:tcPr>
            <w:tcW w:w="1277"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92" w:right="0"/>
              <w:jc w:val="both"/>
              <w:textAlignment w:val="auto"/>
              <w:rPr>
                <w:rFonts w:hint="eastAsia" w:ascii="宋体" w:hAnsi="宋体" w:eastAsia="宋体" w:cs="宋体"/>
                <w:sz w:val="18"/>
                <w:szCs w:val="18"/>
              </w:rPr>
            </w:pPr>
            <w:r>
              <w:rPr>
                <w:rFonts w:hint="eastAsia" w:ascii="宋体" w:hAnsi="宋体" w:eastAsia="宋体" w:cs="宋体"/>
                <w:sz w:val="18"/>
                <w:szCs w:val="18"/>
              </w:rPr>
              <w:t>主要学生</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36" w:right="108" w:firstLine="55"/>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干部（班长、团支书）加分,班委成员减半,班级成员20%</w:t>
            </w:r>
          </w:p>
        </w:tc>
      </w:tr>
      <w:tr>
        <w:tblPrEx>
          <w:tblLayout w:type="fixed"/>
          <w:tblCellMar>
            <w:top w:w="0" w:type="dxa"/>
            <w:left w:w="0" w:type="dxa"/>
            <w:bottom w:w="0" w:type="dxa"/>
            <w:right w:w="0" w:type="dxa"/>
          </w:tblCellMar>
        </w:tblPrEx>
        <w:trPr>
          <w:trHeight w:val="322" w:hRule="exact"/>
        </w:trPr>
        <w:tc>
          <w:tcPr>
            <w:tcW w:w="98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9"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省级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20</w:t>
            </w:r>
          </w:p>
        </w:tc>
        <w:tc>
          <w:tcPr>
            <w:tcW w:w="1416"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886" w:hRule="exact"/>
        </w:trPr>
        <w:tc>
          <w:tcPr>
            <w:tcW w:w="989"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6"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国家级</w:t>
            </w: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40</w:t>
            </w:r>
          </w:p>
        </w:tc>
        <w:tc>
          <w:tcPr>
            <w:tcW w:w="1416"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c>
          <w:tcPr>
            <w:tcW w:w="1277"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1260" w:hRule="exact"/>
        </w:trPr>
        <w:tc>
          <w:tcPr>
            <w:tcW w:w="989"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left="158" w:right="0"/>
              <w:jc w:val="both"/>
              <w:textAlignment w:val="auto"/>
              <w:rPr>
                <w:rFonts w:hint="eastAsia" w:ascii="宋体" w:hAnsi="宋体" w:eastAsia="宋体" w:cs="宋体"/>
                <w:sz w:val="18"/>
                <w:szCs w:val="18"/>
              </w:rPr>
            </w:pPr>
            <w:r>
              <w:rPr>
                <w:rFonts w:hint="eastAsia" w:ascii="宋体" w:hAnsi="宋体" w:eastAsia="宋体" w:cs="宋体"/>
                <w:sz w:val="18"/>
                <w:szCs w:val="18"/>
              </w:rPr>
              <w:t>专业技</w:t>
            </w:r>
          </w:p>
          <w:p>
            <w:pPr>
              <w:pStyle w:val="11"/>
              <w:keepNext w:val="0"/>
              <w:keepLines w:val="0"/>
              <w:pageBreakBefore w:val="0"/>
              <w:widowControl w:val="0"/>
              <w:kinsoku/>
              <w:wordWrap/>
              <w:overflowPunct/>
              <w:topLinePunct w:val="0"/>
              <w:autoSpaceDE/>
              <w:autoSpaceDN/>
              <w:bidi w:val="0"/>
              <w:adjustRightInd/>
              <w:snapToGrid/>
              <w:spacing w:before="12" w:line="240" w:lineRule="auto"/>
              <w:ind w:left="158" w:right="156"/>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能与职业资格证书</w:t>
            </w:r>
          </w:p>
        </w:tc>
        <w:tc>
          <w:tcPr>
            <w:tcW w:w="85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0"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right="91"/>
              <w:jc w:val="right"/>
              <w:textAlignment w:val="auto"/>
              <w:rPr>
                <w:rFonts w:hint="eastAsia" w:ascii="宋体" w:hAnsi="宋体" w:eastAsia="宋体" w:cs="宋体"/>
                <w:sz w:val="18"/>
                <w:szCs w:val="18"/>
                <w:lang w:eastAsia="zh-CN"/>
              </w:rPr>
            </w:pPr>
            <w:r>
              <w:rPr>
                <w:rFonts w:hint="eastAsia" w:ascii="宋体" w:hAnsi="宋体" w:eastAsia="宋体" w:cs="宋体"/>
                <w:spacing w:val="-1"/>
                <w:sz w:val="18"/>
                <w:szCs w:val="18"/>
              </w:rPr>
              <w:t>取得</w:t>
            </w:r>
          </w:p>
        </w:tc>
        <w:tc>
          <w:tcPr>
            <w:tcW w:w="255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60" w:line="240" w:lineRule="auto"/>
              <w:ind w:left="107" w:right="0"/>
              <w:jc w:val="center"/>
              <w:textAlignment w:val="auto"/>
              <w:rPr>
                <w:rFonts w:hint="eastAsia" w:ascii="宋体" w:hAnsi="宋体" w:eastAsia="宋体" w:cs="宋体"/>
                <w:sz w:val="18"/>
                <w:szCs w:val="18"/>
                <w:lang w:eastAsia="zh-CN"/>
              </w:rPr>
            </w:pPr>
          </w:p>
        </w:tc>
        <w:tc>
          <w:tcPr>
            <w:tcW w:w="1135"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7"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105"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5/每项</w:t>
            </w:r>
          </w:p>
        </w:tc>
        <w:tc>
          <w:tcPr>
            <w:tcW w:w="1416"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0" w:line="240" w:lineRule="auto"/>
              <w:ind w:left="151" w:right="151"/>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由学生上传证书电子版个人申请</w:t>
            </w:r>
          </w:p>
        </w:tc>
        <w:tc>
          <w:tcPr>
            <w:tcW w:w="127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1" w:line="24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240" w:lineRule="auto"/>
              <w:ind w:left="247" w:right="137" w:hanging="56"/>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累计不超过30</w:t>
            </w:r>
            <w:r>
              <w:rPr>
                <w:rFonts w:hint="eastAsia" w:ascii="宋体" w:hAnsi="宋体" w:eastAsia="宋体" w:cs="宋体"/>
                <w:spacing w:val="-3"/>
                <w:sz w:val="18"/>
                <w:szCs w:val="18"/>
              </w:rPr>
              <w:t>分</w:t>
            </w:r>
          </w:p>
        </w:tc>
      </w:tr>
    </w:tbl>
    <w:p>
      <w:pPr>
        <w:keepNext w:val="0"/>
        <w:keepLines w:val="0"/>
        <w:pageBreakBefore w:val="0"/>
        <w:widowControl w:val="0"/>
        <w:tabs>
          <w:tab w:val="left" w:pos="2342"/>
        </w:tabs>
        <w:kinsoku/>
        <w:wordWrap/>
        <w:overflowPunct/>
        <w:topLinePunct w:val="0"/>
        <w:autoSpaceDE/>
        <w:autoSpaceDN/>
        <w:bidi w:val="0"/>
        <w:adjustRightInd/>
        <w:snapToGrid/>
        <w:spacing w:before="0" w:line="360" w:lineRule="auto"/>
        <w:ind w:left="741" w:right="0" w:firstLine="0"/>
        <w:jc w:val="left"/>
        <w:textAlignment w:val="auto"/>
        <w:rPr>
          <w:rFonts w:hint="eastAsia" w:ascii="宋体" w:hAnsi="宋体" w:eastAsia="宋体" w:cs="宋体"/>
          <w:w w:val="95"/>
          <w:sz w:val="24"/>
          <w:szCs w:val="24"/>
        </w:rPr>
      </w:pPr>
    </w:p>
    <w:p>
      <w:pPr>
        <w:keepNext w:val="0"/>
        <w:keepLines w:val="0"/>
        <w:pageBreakBefore w:val="0"/>
        <w:widowControl w:val="0"/>
        <w:tabs>
          <w:tab w:val="left" w:pos="2342"/>
        </w:tabs>
        <w:kinsoku/>
        <w:wordWrap/>
        <w:overflowPunct/>
        <w:topLinePunct w:val="0"/>
        <w:autoSpaceDE/>
        <w:autoSpaceDN/>
        <w:bidi w:val="0"/>
        <w:adjustRightInd/>
        <w:snapToGrid/>
        <w:spacing w:before="0" w:line="360" w:lineRule="auto"/>
        <w:ind w:right="0" w:firstLine="456" w:firstLineChars="200"/>
        <w:jc w:val="left"/>
        <w:textAlignment w:val="auto"/>
        <w:outlineLvl w:val="9"/>
        <w:rPr>
          <w:rFonts w:hint="eastAsia" w:ascii="宋体" w:hAnsi="宋体" w:eastAsia="宋体" w:cs="宋体"/>
          <w:sz w:val="24"/>
          <w:szCs w:val="24"/>
        </w:rPr>
      </w:pPr>
      <w:r>
        <w:rPr>
          <w:rFonts w:hint="eastAsia" w:ascii="宋体" w:hAnsi="宋体" w:eastAsia="宋体" w:cs="宋体"/>
          <w:w w:val="95"/>
          <w:sz w:val="24"/>
          <w:szCs w:val="24"/>
        </w:rPr>
        <w:t>第十五条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竞赛参加及学术成果类</w:t>
      </w:r>
    </w:p>
    <w:p>
      <w:pPr>
        <w:keepNext w:val="0"/>
        <w:keepLines w:val="0"/>
        <w:pageBreakBefore w:val="0"/>
        <w:widowControl w:val="0"/>
        <w:kinsoku/>
        <w:wordWrap/>
        <w:overflowPunct/>
        <w:topLinePunct w:val="0"/>
        <w:autoSpaceDE/>
        <w:autoSpaceDN/>
        <w:bidi w:val="0"/>
        <w:adjustRightInd/>
        <w:snapToGrid/>
        <w:spacing w:before="205" w:line="360" w:lineRule="auto"/>
        <w:ind w:righ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1.竞赛类</w:t>
      </w:r>
    </w:p>
    <w:p>
      <w:pPr>
        <w:keepNext w:val="0"/>
        <w:keepLines w:val="0"/>
        <w:pageBreakBefore w:val="0"/>
        <w:widowControl w:val="0"/>
        <w:kinsoku/>
        <w:wordWrap/>
        <w:overflowPunct/>
        <w:topLinePunct w:val="0"/>
        <w:autoSpaceDE/>
        <w:autoSpaceDN/>
        <w:bidi w:val="0"/>
        <w:adjustRightInd/>
        <w:snapToGrid/>
        <w:spacing w:before="205" w:line="360" w:lineRule="auto"/>
        <w:ind w:right="433"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（1）包括学科竞赛、文化艺术竞赛和体育竞技比赛三种，学</w:t>
      </w:r>
      <w:r>
        <w:rPr>
          <w:rFonts w:hint="eastAsia" w:ascii="宋体" w:hAnsi="宋体" w:eastAsia="宋体" w:cs="宋体"/>
          <w:spacing w:val="-5"/>
          <w:sz w:val="24"/>
          <w:szCs w:val="24"/>
        </w:rPr>
        <w:t>科竞赛依据《南京信息工程大学大学生学科竞赛管理规定》认定</w:t>
      </w:r>
      <w:r>
        <w:rPr>
          <w:rFonts w:hint="eastAsia" w:ascii="宋体" w:hAnsi="宋体" w:eastAsia="宋体" w:cs="宋体"/>
          <w:sz w:val="24"/>
          <w:szCs w:val="24"/>
        </w:rPr>
        <w:t>A</w:t>
      </w:r>
      <w:r>
        <w:rPr>
          <w:rFonts w:hint="eastAsia" w:ascii="宋体" w:hAnsi="宋体" w:eastAsia="宋体" w:cs="宋体"/>
          <w:spacing w:val="-7"/>
          <w:w w:val="95"/>
          <w:sz w:val="24"/>
          <w:szCs w:val="24"/>
        </w:rPr>
        <w:t>类学科竞赛项目。分为校级、省部级、国家级三个竞赛级别。根据</w:t>
      </w:r>
      <w:r>
        <w:rPr>
          <w:rFonts w:hint="eastAsia" w:ascii="宋体" w:hAnsi="宋体" w:eastAsia="宋体" w:cs="宋体"/>
          <w:sz w:val="24"/>
          <w:szCs w:val="24"/>
        </w:rPr>
        <w:t>不同获奖级别给与实践学时。</w:t>
      </w:r>
    </w:p>
    <w:p>
      <w:pPr>
        <w:keepNext w:val="0"/>
        <w:keepLines w:val="0"/>
        <w:pageBreakBefore w:val="0"/>
        <w:widowControl w:val="0"/>
        <w:kinsoku/>
        <w:wordWrap/>
        <w:overflowPunct/>
        <w:topLinePunct w:val="0"/>
        <w:autoSpaceDE/>
        <w:autoSpaceDN/>
        <w:bidi w:val="0"/>
        <w:adjustRightInd/>
        <w:snapToGrid/>
        <w:spacing w:before="49" w:line="360" w:lineRule="auto"/>
        <w:ind w:righ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（2）高水平艺术团成员以及高水平运动员所需实践学时减半。</w:t>
      </w:r>
    </w:p>
    <w:p>
      <w:pPr>
        <w:keepNext w:val="0"/>
        <w:keepLines w:val="0"/>
        <w:pageBreakBefore w:val="0"/>
        <w:widowControl w:val="0"/>
        <w:kinsoku/>
        <w:wordWrap/>
        <w:overflowPunct/>
        <w:topLinePunct w:val="0"/>
        <w:autoSpaceDE/>
        <w:autoSpaceDN/>
        <w:bidi w:val="0"/>
        <w:adjustRightInd/>
        <w:snapToGrid/>
        <w:spacing w:before="205" w:line="360" w:lineRule="auto"/>
        <w:ind w:right="1325"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（3）同一竞赛的不同级别获奖取最高级别予以认定。</w:t>
      </w:r>
    </w:p>
    <w:p>
      <w:pPr>
        <w:keepNext w:val="0"/>
        <w:keepLines w:val="0"/>
        <w:pageBreakBefore w:val="0"/>
        <w:widowControl w:val="0"/>
        <w:kinsoku/>
        <w:wordWrap/>
        <w:overflowPunct/>
        <w:topLinePunct w:val="0"/>
        <w:autoSpaceDE/>
        <w:autoSpaceDN/>
        <w:bidi w:val="0"/>
        <w:adjustRightInd/>
        <w:snapToGrid/>
        <w:spacing w:before="205" w:line="360" w:lineRule="auto"/>
        <w:ind w:right="1325"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2.学术科研</w:t>
      </w:r>
    </w:p>
    <w:p>
      <w:pPr>
        <w:keepNext w:val="0"/>
        <w:keepLines w:val="0"/>
        <w:pageBreakBefore w:val="0"/>
        <w:widowControl w:val="0"/>
        <w:kinsoku/>
        <w:wordWrap/>
        <w:overflowPunct/>
        <w:topLinePunct w:val="0"/>
        <w:autoSpaceDE/>
        <w:autoSpaceDN/>
        <w:bidi w:val="0"/>
        <w:adjustRightInd/>
        <w:snapToGrid/>
        <w:spacing w:before="48" w:line="360" w:lineRule="auto"/>
        <w:ind w:right="420" w:firstLine="472"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（1）学生参加校级、省级和国家级大学生创新创业训练计划</w:t>
      </w:r>
      <w:r>
        <w:rPr>
          <w:rFonts w:hint="eastAsia" w:ascii="宋体" w:hAnsi="宋体" w:eastAsia="宋体" w:cs="宋体"/>
          <w:sz w:val="24"/>
          <w:szCs w:val="24"/>
        </w:rPr>
        <w:t>项目，通过验收的，项目负责人及其他小组成员给予实践学时。</w:t>
      </w:r>
    </w:p>
    <w:p>
      <w:pPr>
        <w:keepNext w:val="0"/>
        <w:keepLines w:val="0"/>
        <w:pageBreakBefore w:val="0"/>
        <w:widowControl w:val="0"/>
        <w:kinsoku/>
        <w:wordWrap/>
        <w:overflowPunct/>
        <w:topLinePunct w:val="0"/>
        <w:autoSpaceDE/>
        <w:autoSpaceDN/>
        <w:bidi w:val="0"/>
        <w:adjustRightInd/>
        <w:snapToGrid/>
        <w:spacing w:before="48" w:line="360" w:lineRule="auto"/>
        <w:ind w:right="432" w:firstLine="42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7"/>
          <w:w w:val="95"/>
          <w:sz w:val="24"/>
          <w:szCs w:val="24"/>
        </w:rPr>
        <w:t>（2）学生在校期间在国内一般刊物、国内核心刊物及以上(国</w:t>
      </w:r>
      <w:r>
        <w:rPr>
          <w:rFonts w:hint="eastAsia" w:ascii="宋体" w:hAnsi="宋体" w:eastAsia="宋体" w:cs="宋体"/>
          <w:spacing w:val="-2"/>
          <w:sz w:val="24"/>
          <w:szCs w:val="24"/>
        </w:rPr>
        <w:t>外一般期刊)、国际核心刊物上（刊物以科技处认定范围为准）发</w:t>
      </w:r>
      <w:r>
        <w:rPr>
          <w:rFonts w:hint="eastAsia" w:ascii="宋体" w:hAnsi="宋体" w:eastAsia="宋体" w:cs="宋体"/>
          <w:spacing w:val="-7"/>
          <w:w w:val="95"/>
          <w:sz w:val="24"/>
          <w:szCs w:val="24"/>
        </w:rPr>
        <w:t>表学术论文，按照数量给予实践学时。国内一般刊物刊发学术论文仅对第一作者（教师为第一作者的递推）给予认定。其他级别刊物</w:t>
      </w:r>
      <w:r>
        <w:rPr>
          <w:rFonts w:hint="eastAsia" w:ascii="宋体" w:hAnsi="宋体" w:eastAsia="宋体" w:cs="宋体"/>
          <w:sz w:val="24"/>
          <w:szCs w:val="24"/>
        </w:rPr>
        <w:t>多名作者共同发表论文的，按照排名先后依次递减10个学时/人给予认定。</w:t>
      </w:r>
    </w:p>
    <w:p>
      <w:pPr>
        <w:keepNext w:val="0"/>
        <w:keepLines w:val="0"/>
        <w:pageBreakBefore w:val="0"/>
        <w:widowControl w:val="0"/>
        <w:kinsoku/>
        <w:wordWrap/>
        <w:overflowPunct/>
        <w:topLinePunct w:val="0"/>
        <w:autoSpaceDE/>
        <w:autoSpaceDN/>
        <w:bidi w:val="0"/>
        <w:adjustRightInd/>
        <w:snapToGrid/>
        <w:spacing w:before="49" w:line="360" w:lineRule="auto"/>
        <w:ind w:right="258" w:firstLine="496"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4"/>
          <w:sz w:val="24"/>
          <w:szCs w:val="24"/>
        </w:rPr>
        <w:t>（3）学生在校期间取得专利，按实用新型、发明专利两类，</w:t>
      </w:r>
      <w:r>
        <w:rPr>
          <w:rFonts w:hint="eastAsia" w:ascii="宋体" w:hAnsi="宋体" w:eastAsia="宋体" w:cs="宋体"/>
          <w:spacing w:val="3"/>
          <w:sz w:val="24"/>
          <w:szCs w:val="24"/>
        </w:rPr>
        <w:t>按项给予实践学时。专利申请已经受理但未授权的按标准减半给</w:t>
      </w:r>
      <w:r>
        <w:rPr>
          <w:rFonts w:hint="eastAsia" w:ascii="宋体" w:hAnsi="宋体" w:eastAsia="宋体" w:cs="宋体"/>
          <w:spacing w:val="-7"/>
          <w:w w:val="99"/>
          <w:sz w:val="24"/>
          <w:szCs w:val="24"/>
        </w:rPr>
        <w:t>予（仅限大四）。多名作者申请专利的，按排名先后顺序依次递减</w:t>
      </w:r>
      <w:r>
        <w:rPr>
          <w:rFonts w:hint="eastAsia" w:ascii="宋体" w:hAnsi="宋体" w:eastAsia="宋体" w:cs="宋体"/>
          <w:sz w:val="24"/>
          <w:szCs w:val="24"/>
        </w:rPr>
        <w:t>10个学时/人给予认定。</w:t>
      </w:r>
    </w:p>
    <w:p>
      <w:pPr>
        <w:keepNext w:val="0"/>
        <w:keepLines w:val="0"/>
        <w:pageBreakBefore w:val="0"/>
        <w:widowControl w:val="0"/>
        <w:kinsoku/>
        <w:wordWrap/>
        <w:overflowPunct/>
        <w:topLinePunct w:val="0"/>
        <w:autoSpaceDE/>
        <w:autoSpaceDN/>
        <w:bidi w:val="0"/>
        <w:adjustRightInd/>
        <w:snapToGrid/>
        <w:spacing w:before="48" w:line="360" w:lineRule="auto"/>
        <w:ind w:right="420" w:firstLine="472"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（4）论文、专利、科技成果等项目仅对权属单位为南京信息</w:t>
      </w:r>
      <w:r>
        <w:rPr>
          <w:rFonts w:hint="eastAsia" w:ascii="宋体" w:hAnsi="宋体" w:eastAsia="宋体" w:cs="宋体"/>
          <w:sz w:val="24"/>
          <w:szCs w:val="24"/>
        </w:rPr>
        <w:t>工程大学的认定实践学时。(见下表)</w:t>
      </w:r>
    </w:p>
    <w:p>
      <w:pPr>
        <w:keepNext w:val="0"/>
        <w:keepLines w:val="0"/>
        <w:pageBreakBefore w:val="0"/>
        <w:widowControl w:val="0"/>
        <w:kinsoku/>
        <w:wordWrap/>
        <w:overflowPunct/>
        <w:topLinePunct w:val="0"/>
        <w:autoSpaceDE/>
        <w:autoSpaceDN/>
        <w:bidi w:val="0"/>
        <w:adjustRightInd/>
        <w:snapToGrid/>
        <w:spacing w:before="10" w:line="360" w:lineRule="auto"/>
        <w:textAlignment w:val="auto"/>
        <w:rPr>
          <w:rFonts w:hint="eastAsia" w:ascii="宋体" w:hAnsi="宋体" w:eastAsia="宋体" w:cs="宋体"/>
          <w:sz w:val="24"/>
          <w:szCs w:val="24"/>
        </w:rPr>
      </w:pPr>
    </w:p>
    <w:tbl>
      <w:tblPr>
        <w:tblStyle w:val="8"/>
        <w:tblW w:w="8082" w:type="dxa"/>
        <w:tblInd w:w="590" w:type="dxa"/>
        <w:tblLayout w:type="fixed"/>
        <w:tblCellMar>
          <w:top w:w="0" w:type="dxa"/>
          <w:left w:w="0" w:type="dxa"/>
          <w:bottom w:w="0" w:type="dxa"/>
          <w:right w:w="0" w:type="dxa"/>
        </w:tblCellMar>
      </w:tblPr>
      <w:tblGrid>
        <w:gridCol w:w="710"/>
        <w:gridCol w:w="850"/>
        <w:gridCol w:w="2127"/>
        <w:gridCol w:w="991"/>
        <w:gridCol w:w="1702"/>
        <w:gridCol w:w="1702"/>
      </w:tblGrid>
      <w:tr>
        <w:tblPrEx>
          <w:tblLayout w:type="fixed"/>
          <w:tblCellMar>
            <w:top w:w="0" w:type="dxa"/>
            <w:left w:w="0" w:type="dxa"/>
            <w:bottom w:w="0" w:type="dxa"/>
            <w:right w:w="0" w:type="dxa"/>
          </w:tblCellMar>
        </w:tblPrEx>
        <w:trPr>
          <w:trHeight w:val="322" w:hRule="exact"/>
        </w:trPr>
        <w:tc>
          <w:tcPr>
            <w:tcW w:w="71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2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类别</w:t>
            </w:r>
          </w:p>
        </w:tc>
        <w:tc>
          <w:tcPr>
            <w:tcW w:w="850"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201"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状态</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级别</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5" w:right="-5"/>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学时/次</w:t>
            </w:r>
          </w:p>
        </w:tc>
        <w:tc>
          <w:tcPr>
            <w:tcW w:w="170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405"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证明材料</w:t>
            </w:r>
          </w:p>
        </w:tc>
        <w:tc>
          <w:tcPr>
            <w:tcW w:w="1702"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626"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备注</w:t>
            </w:r>
          </w:p>
        </w:tc>
      </w:tr>
      <w:tr>
        <w:tblPrEx>
          <w:tblLayout w:type="fixed"/>
          <w:tblCellMar>
            <w:top w:w="0" w:type="dxa"/>
            <w:left w:w="0" w:type="dxa"/>
            <w:bottom w:w="0" w:type="dxa"/>
            <w:right w:w="0" w:type="dxa"/>
          </w:tblCellMar>
        </w:tblPrEx>
        <w:trPr>
          <w:trHeight w:val="1361" w:hRule="exact"/>
        </w:trPr>
        <w:tc>
          <w:tcPr>
            <w:tcW w:w="7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29" w:right="127"/>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竞赛获奖类</w:t>
            </w: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4"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17" w:right="113"/>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A类学科竞赛,文化艺术竞赛,体育竞技比赛</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76"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全国金奖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3"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324"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100</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5"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84" w:right="183"/>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由学生上传证明材料</w:t>
            </w:r>
          </w:p>
          <w:p>
            <w:pPr>
              <w:pStyle w:val="11"/>
              <w:keepNext w:val="0"/>
              <w:keepLines w:val="0"/>
              <w:pageBreakBefore w:val="0"/>
              <w:widowControl w:val="0"/>
              <w:kinsoku/>
              <w:wordWrap/>
              <w:overflowPunct/>
              <w:topLinePunct w:val="0"/>
              <w:autoSpaceDE/>
              <w:autoSpaceDN/>
              <w:bidi w:val="0"/>
              <w:adjustRightInd/>
              <w:snapToGrid/>
              <w:spacing w:before="9" w:line="360" w:lineRule="auto"/>
              <w:ind w:left="108"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8"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8"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8"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8" w:right="0"/>
              <w:jc w:val="center"/>
              <w:textAlignment w:val="auto"/>
              <w:rPr>
                <w:rFonts w:hint="eastAsia" w:ascii="宋体" w:hAnsi="宋体" w:eastAsia="宋体" w:cs="宋体"/>
                <w:sz w:val="18"/>
                <w:szCs w:val="18"/>
                <w:lang w:eastAsia="zh-CN"/>
              </w:rPr>
            </w:pP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18"/>
                <w:szCs w:val="18"/>
              </w:rPr>
            </w:pPr>
            <w:r>
              <w:rPr>
                <w:rFonts w:hint="eastAsia" w:ascii="宋体" w:hAnsi="宋体" w:eastAsia="宋体" w:cs="宋体"/>
                <w:sz w:val="18"/>
                <w:szCs w:val="18"/>
              </w:rPr>
              <w:t>1、《南京信息</w:t>
            </w:r>
          </w:p>
          <w:p>
            <w:pPr>
              <w:pStyle w:val="11"/>
              <w:keepNext w:val="0"/>
              <w:keepLines w:val="0"/>
              <w:pageBreakBefore w:val="0"/>
              <w:widowControl w:val="0"/>
              <w:kinsoku/>
              <w:wordWrap/>
              <w:overflowPunct/>
              <w:topLinePunct w:val="0"/>
              <w:autoSpaceDE/>
              <w:autoSpaceDN/>
              <w:bidi w:val="0"/>
              <w:adjustRightInd/>
              <w:snapToGrid/>
              <w:spacing w:before="7" w:line="360" w:lineRule="auto"/>
              <w:ind w:left="129" w:right="128"/>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工程大学大学生学科竞赛管理规定》的B类依次按照A类实践学时的70%给予，C类等同于校级。2、前三名获得全额实践学时，其他参加者依次递减10%。</w:t>
            </w: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全国银奖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80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全国铜奖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50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全省金奖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60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全省银奖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40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全省铜奖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30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4"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校金奖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30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校银奖</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20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452" w:hRule="exact"/>
        </w:trPr>
        <w:tc>
          <w:tcPr>
            <w:tcW w:w="7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37" w:line="360" w:lineRule="auto"/>
              <w:ind w:left="107"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校铜匠</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43"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10</w:t>
            </w: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7"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29" w:right="19"/>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学术科研</w:t>
            </w: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6"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201"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立项</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国家级课题主持人</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60</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7" w:line="360" w:lineRule="auto"/>
              <w:ind w:left="515" w:right="183" w:hanging="332"/>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由学生上传证明材料</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37" w:line="360" w:lineRule="auto"/>
              <w:ind w:left="324" w:right="183" w:hanging="14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其他参加者依次递减10%</w:t>
            </w: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省级课题主持人</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40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4"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校级课题主持人</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20</w:t>
            </w: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201"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论文</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国际核心刊物</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24"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100</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18"/>
                <w:szCs w:val="18"/>
              </w:rPr>
            </w:pPr>
            <w:r>
              <w:rPr>
                <w:rFonts w:hint="eastAsia" w:ascii="宋体" w:hAnsi="宋体" w:eastAsia="宋体" w:cs="宋体"/>
                <w:sz w:val="18"/>
                <w:szCs w:val="18"/>
              </w:rPr>
              <w:t>由学生上传论</w:t>
            </w:r>
          </w:p>
          <w:p>
            <w:pPr>
              <w:pStyle w:val="11"/>
              <w:keepNext w:val="0"/>
              <w:keepLines w:val="0"/>
              <w:pageBreakBefore w:val="0"/>
              <w:widowControl w:val="0"/>
              <w:kinsoku/>
              <w:wordWrap/>
              <w:overflowPunct/>
              <w:topLinePunct w:val="0"/>
              <w:autoSpaceDE/>
              <w:autoSpaceDN/>
              <w:bidi w:val="0"/>
              <w:adjustRightInd/>
              <w:snapToGrid/>
              <w:spacing w:before="12" w:line="360" w:lineRule="auto"/>
              <w:ind w:left="184" w:right="183"/>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文电子版（录用通知仅限大四有效）</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28" w:line="360" w:lineRule="auto"/>
              <w:ind w:left="184" w:right="183"/>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参加者依次递减10%</w:t>
            </w:r>
          </w:p>
          <w:p>
            <w:pPr>
              <w:pStyle w:val="11"/>
              <w:keepNext w:val="0"/>
              <w:keepLines w:val="0"/>
              <w:pageBreakBefore w:val="0"/>
              <w:widowControl w:val="0"/>
              <w:kinsoku/>
              <w:wordWrap/>
              <w:overflowPunct/>
              <w:topLinePunct w:val="0"/>
              <w:autoSpaceDE/>
              <w:autoSpaceDN/>
              <w:bidi w:val="0"/>
              <w:adjustRightInd/>
              <w:snapToGrid/>
              <w:spacing w:before="6" w:line="360" w:lineRule="auto"/>
              <w:ind w:left="107"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核心以上学术期刊</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28" w:line="360" w:lineRule="auto"/>
              <w:ind w:left="2" w:right="0"/>
              <w:jc w:val="center"/>
              <w:textAlignment w:val="auto"/>
              <w:rPr>
                <w:rFonts w:hint="eastAsia" w:ascii="宋体" w:hAnsi="宋体" w:eastAsia="宋体" w:cs="宋体"/>
                <w:sz w:val="18"/>
                <w:szCs w:val="18"/>
              </w:rPr>
            </w:pPr>
            <w:r>
              <w:rPr>
                <w:rFonts w:hint="eastAsia" w:ascii="宋体" w:hAnsi="宋体" w:eastAsia="宋体" w:cs="宋体"/>
                <w:sz w:val="18"/>
                <w:szCs w:val="18"/>
              </w:rPr>
              <w:t>60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614" w:hRule="exact"/>
        </w:trPr>
        <w:tc>
          <w:tcPr>
            <w:tcW w:w="7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18"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一般学术期刊</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174" w:line="360" w:lineRule="auto"/>
              <w:ind w:left="2" w:right="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550" w:hRule="exact"/>
        </w:trPr>
        <w:tc>
          <w:tcPr>
            <w:tcW w:w="71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12"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08"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专利</w:t>
            </w:r>
          </w:p>
          <w:p>
            <w:pPr>
              <w:pStyle w:val="11"/>
              <w:keepNext w:val="0"/>
              <w:keepLines w:val="0"/>
              <w:pageBreakBefore w:val="0"/>
              <w:widowControl w:val="0"/>
              <w:kinsoku/>
              <w:wordWrap/>
              <w:overflowPunct/>
              <w:topLinePunct w:val="0"/>
              <w:autoSpaceDE/>
              <w:autoSpaceDN/>
              <w:bidi w:val="0"/>
              <w:adjustRightInd/>
              <w:snapToGrid/>
              <w:spacing w:before="19" w:line="36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5" w:right="0"/>
              <w:jc w:val="center"/>
              <w:textAlignment w:val="auto"/>
              <w:rPr>
                <w:rFonts w:hint="eastAsia" w:ascii="宋体" w:hAnsi="宋体" w:eastAsia="宋体" w:cs="宋体"/>
                <w:sz w:val="18"/>
                <w:szCs w:val="18"/>
                <w:lang w:eastAsia="zh-CN"/>
              </w:rPr>
            </w:pPr>
          </w:p>
          <w:p>
            <w:pPr>
              <w:pStyle w:val="11"/>
              <w:keepNext w:val="0"/>
              <w:keepLines w:val="0"/>
              <w:pageBreakBefore w:val="0"/>
              <w:widowControl w:val="0"/>
              <w:kinsoku/>
              <w:wordWrap/>
              <w:overflowPunct/>
              <w:topLinePunct w:val="0"/>
              <w:autoSpaceDE/>
              <w:autoSpaceDN/>
              <w:bidi w:val="0"/>
              <w:adjustRightInd/>
              <w:snapToGrid/>
              <w:spacing w:before="24" w:line="360" w:lineRule="auto"/>
              <w:ind w:left="105" w:right="0"/>
              <w:jc w:val="center"/>
              <w:textAlignment w:val="auto"/>
              <w:rPr>
                <w:rFonts w:hint="eastAsia" w:ascii="宋体" w:hAnsi="宋体" w:eastAsia="宋体" w:cs="宋体"/>
                <w:sz w:val="18"/>
                <w:szCs w:val="18"/>
                <w:lang w:eastAsia="zh-CN"/>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before="207" w:line="360" w:lineRule="auto"/>
              <w:ind w:left="201"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取得</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4"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实用新型一作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91"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30</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209" w:line="360" w:lineRule="auto"/>
              <w:ind w:left="184" w:right="183"/>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由学生上传证书电子版</w:t>
            </w:r>
          </w:p>
          <w:p>
            <w:pPr>
              <w:pStyle w:val="11"/>
              <w:keepNext w:val="0"/>
              <w:keepLines w:val="0"/>
              <w:pageBreakBefore w:val="0"/>
              <w:widowControl w:val="0"/>
              <w:kinsoku/>
              <w:wordWrap/>
              <w:overflowPunct/>
              <w:topLinePunct w:val="0"/>
              <w:autoSpaceDE/>
              <w:autoSpaceDN/>
              <w:bidi w:val="0"/>
              <w:adjustRightInd/>
              <w:snapToGrid/>
              <w:spacing w:before="9" w:line="360" w:lineRule="auto"/>
              <w:ind w:left="108" w:right="0"/>
              <w:jc w:val="center"/>
              <w:textAlignment w:val="auto"/>
              <w:rPr>
                <w:rFonts w:hint="eastAsia" w:ascii="宋体" w:hAnsi="宋体" w:eastAsia="宋体" w:cs="宋体"/>
                <w:sz w:val="18"/>
                <w:szCs w:val="18"/>
                <w:lang w:eastAsia="zh-CN"/>
              </w:rPr>
            </w:pP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158" w:right="74" w:firstLine="26"/>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参加者依次递减10%,仅就权属单位为南京信息工程大学</w:t>
            </w:r>
          </w:p>
          <w:p>
            <w:pPr>
              <w:pStyle w:val="11"/>
              <w:keepNext w:val="0"/>
              <w:keepLines w:val="0"/>
              <w:pageBreakBefore w:val="0"/>
              <w:widowControl w:val="0"/>
              <w:kinsoku/>
              <w:wordWrap/>
              <w:overflowPunct/>
              <w:topLinePunct w:val="0"/>
              <w:autoSpaceDE/>
              <w:autoSpaceDN/>
              <w:bidi w:val="0"/>
              <w:adjustRightInd/>
              <w:snapToGrid/>
              <w:spacing w:before="11" w:line="360" w:lineRule="auto"/>
              <w:ind w:left="107" w:right="0"/>
              <w:jc w:val="center"/>
              <w:textAlignment w:val="auto"/>
              <w:rPr>
                <w:rFonts w:hint="eastAsia" w:ascii="宋体" w:hAnsi="宋体" w:eastAsia="宋体" w:cs="宋体"/>
                <w:sz w:val="18"/>
                <w:szCs w:val="18"/>
                <w:lang w:eastAsia="zh-CN"/>
              </w:rPr>
            </w:pPr>
          </w:p>
        </w:tc>
      </w:tr>
      <w:tr>
        <w:tblPrEx>
          <w:tblLayout w:type="fixed"/>
          <w:tblCellMar>
            <w:top w:w="0" w:type="dxa"/>
            <w:left w:w="0" w:type="dxa"/>
            <w:bottom w:w="0" w:type="dxa"/>
            <w:right w:w="0" w:type="dxa"/>
          </w:tblCellMar>
        </w:tblPrEx>
        <w:trPr>
          <w:trHeight w:val="550"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nil"/>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7"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软件著作权一作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93"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30</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nil"/>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发明专利一作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60</w:t>
            </w: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before="8" w:line="360" w:lineRule="auto"/>
              <w:ind w:right="0"/>
              <w:jc w:val="left"/>
              <w:textAlignment w:val="auto"/>
              <w:rPr>
                <w:rFonts w:hint="eastAsia" w:ascii="宋体" w:hAnsi="宋体" w:eastAsia="宋体" w:cs="宋体"/>
                <w:sz w:val="18"/>
                <w:szCs w:val="18"/>
              </w:rPr>
            </w:pPr>
          </w:p>
          <w:p>
            <w:pPr>
              <w:pStyle w:val="11"/>
              <w:keepNext w:val="0"/>
              <w:keepLines w:val="0"/>
              <w:pageBreakBefore w:val="0"/>
              <w:widowControl w:val="0"/>
              <w:kinsoku/>
              <w:wordWrap/>
              <w:overflowPunct/>
              <w:topLinePunct w:val="0"/>
              <w:autoSpaceDE/>
              <w:autoSpaceDN/>
              <w:bidi w:val="0"/>
              <w:adjustRightInd/>
              <w:snapToGrid/>
              <w:spacing w:line="360" w:lineRule="auto"/>
              <w:ind w:left="201"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受理</w:t>
            </w: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实用新型一作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15</w:t>
            </w:r>
          </w:p>
        </w:tc>
        <w:tc>
          <w:tcPr>
            <w:tcW w:w="1702" w:type="dxa"/>
            <w:vMerge w:val="restart"/>
            <w:tcBorders>
              <w:top w:val="single" w:color="000000" w:sz="4" w:space="0"/>
              <w:left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84" w:right="74"/>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由学生上传证书电子版（仅限大四有效）</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4" w:hRule="exact"/>
        </w:trPr>
        <w:tc>
          <w:tcPr>
            <w:tcW w:w="71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软件著作权一作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15</w:t>
            </w: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2" w:hRule="exact"/>
        </w:trPr>
        <w:tc>
          <w:tcPr>
            <w:tcW w:w="71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850"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27"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110" w:right="0"/>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rPr>
              <w:t>发明专利一作</w:t>
            </w:r>
          </w:p>
        </w:tc>
        <w:tc>
          <w:tcPr>
            <w:tcW w:w="991" w:type="dxa"/>
            <w:tcBorders>
              <w:top w:val="single" w:color="000000" w:sz="4" w:space="0"/>
              <w:left w:val="single" w:color="000000" w:sz="4" w:space="0"/>
              <w:bottom w:val="single" w:color="000000" w:sz="4" w:space="0"/>
              <w:right w:val="single" w:color="000000" w:sz="4" w:space="0"/>
            </w:tcBorders>
          </w:tcPr>
          <w:p>
            <w:pPr>
              <w:pStyle w:val="11"/>
              <w:keepNext w:val="0"/>
              <w:keepLines w:val="0"/>
              <w:pageBreakBefore w:val="0"/>
              <w:widowControl w:val="0"/>
              <w:kinsoku/>
              <w:wordWrap/>
              <w:overflowPunct/>
              <w:topLinePunct w:val="0"/>
              <w:autoSpaceDE/>
              <w:autoSpaceDN/>
              <w:bidi w:val="0"/>
              <w:adjustRightInd/>
              <w:snapToGrid/>
              <w:spacing w:line="360" w:lineRule="auto"/>
              <w:ind w:left="379" w:right="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30</w:t>
            </w: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1702"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r>
    </w:tbl>
    <w:p>
      <w:pPr>
        <w:keepNext w:val="0"/>
        <w:keepLines w:val="0"/>
        <w:pageBreakBefore w:val="0"/>
        <w:widowControl w:val="0"/>
        <w:tabs>
          <w:tab w:val="left" w:pos="1286"/>
        </w:tabs>
        <w:kinsoku/>
        <w:wordWrap/>
        <w:overflowPunct/>
        <w:topLinePunct w:val="0"/>
        <w:autoSpaceDE/>
        <w:autoSpaceDN/>
        <w:bidi w:val="0"/>
        <w:adjustRightInd/>
        <w:snapToGrid/>
        <w:spacing w:before="0" w:line="360" w:lineRule="auto"/>
        <w:ind w:left="0" w:right="10" w:firstLine="0"/>
        <w:jc w:val="center"/>
        <w:textAlignment w:val="auto"/>
        <w:rPr>
          <w:rFonts w:hint="eastAsia" w:ascii="宋体" w:hAnsi="宋体" w:eastAsia="宋体" w:cs="宋体"/>
          <w:sz w:val="24"/>
          <w:szCs w:val="24"/>
        </w:rPr>
      </w:pPr>
      <w:r>
        <w:rPr>
          <w:rFonts w:hint="eastAsia" w:ascii="宋体" w:hAnsi="宋体" w:eastAsia="宋体" w:cs="宋体"/>
          <w:b/>
          <w:bCs/>
          <w:sz w:val="24"/>
          <w:szCs w:val="24"/>
        </w:rPr>
        <w:t>第四章</w:t>
      </w:r>
      <w:r>
        <w:rPr>
          <w:rFonts w:hint="eastAsia" w:ascii="宋体" w:hAnsi="宋体" w:eastAsia="宋体" w:cs="宋体"/>
          <w:b/>
          <w:bCs/>
          <w:sz w:val="24"/>
          <w:szCs w:val="24"/>
        </w:rPr>
        <w:tab/>
      </w:r>
      <w:r>
        <w:rPr>
          <w:rFonts w:hint="eastAsia" w:ascii="宋体" w:hAnsi="宋体" w:eastAsia="宋体" w:cs="宋体"/>
          <w:b/>
          <w:bCs/>
          <w:sz w:val="24"/>
          <w:szCs w:val="24"/>
        </w:rPr>
        <w:t>附则</w:t>
      </w:r>
    </w:p>
    <w:p>
      <w:pPr>
        <w:keepNext w:val="0"/>
        <w:keepLines w:val="0"/>
        <w:pageBreakBefore w:val="0"/>
        <w:widowControl w:val="0"/>
        <w:tabs>
          <w:tab w:val="left" w:pos="2452"/>
        </w:tabs>
        <w:kinsoku/>
        <w:wordWrap/>
        <w:overflowPunct/>
        <w:topLinePunct w:val="0"/>
        <w:autoSpaceDE/>
        <w:autoSpaceDN/>
        <w:bidi w:val="0"/>
        <w:adjustRightInd/>
        <w:snapToGrid/>
        <w:spacing w:before="169" w:line="360" w:lineRule="auto"/>
        <w:ind w:left="100" w:right="112" w:firstLine="640"/>
        <w:jc w:val="left"/>
        <w:textAlignment w:val="auto"/>
        <w:rPr>
          <w:rFonts w:hint="eastAsia" w:ascii="宋体" w:hAnsi="宋体" w:eastAsia="宋体" w:cs="宋体"/>
          <w:sz w:val="24"/>
          <w:szCs w:val="24"/>
        </w:rPr>
      </w:pPr>
      <w:r>
        <w:rPr>
          <w:rFonts w:hint="eastAsia" w:ascii="宋体" w:hAnsi="宋体" w:eastAsia="宋体" w:cs="宋体"/>
          <w:w w:val="95"/>
          <w:sz w:val="24"/>
          <w:szCs w:val="24"/>
        </w:rPr>
        <w:t>第十六条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本办法未涉及到的事项，提交校学生相关领导小组讨论决定。</w:t>
      </w:r>
    </w:p>
    <w:p>
      <w:pPr>
        <w:keepNext w:val="0"/>
        <w:keepLines w:val="0"/>
        <w:pageBreakBefore w:val="0"/>
        <w:widowControl w:val="0"/>
        <w:tabs>
          <w:tab w:val="left" w:pos="2342"/>
        </w:tabs>
        <w:kinsoku/>
        <w:wordWrap/>
        <w:overflowPunct/>
        <w:topLinePunct w:val="0"/>
        <w:autoSpaceDE/>
        <w:autoSpaceDN/>
        <w:bidi w:val="0"/>
        <w:adjustRightInd/>
        <w:snapToGrid/>
        <w:spacing w:before="49" w:line="360" w:lineRule="auto"/>
        <w:ind w:left="100" w:right="111" w:firstLine="640"/>
        <w:jc w:val="left"/>
        <w:textAlignment w:val="auto"/>
        <w:rPr>
          <w:rFonts w:hint="eastAsia" w:ascii="宋体" w:hAnsi="宋体" w:eastAsia="宋体" w:cs="宋体"/>
          <w:sz w:val="24"/>
          <w:szCs w:val="24"/>
        </w:rPr>
      </w:pPr>
      <w:r>
        <w:rPr>
          <w:rFonts w:hint="eastAsia" w:ascii="宋体" w:hAnsi="宋体" w:eastAsia="宋体" w:cs="宋体"/>
          <w:w w:val="95"/>
          <w:sz w:val="24"/>
          <w:szCs w:val="24"/>
        </w:rPr>
        <w:t>第十七条</w:t>
      </w:r>
      <w:r>
        <w:rPr>
          <w:rFonts w:hint="eastAsia" w:ascii="宋体" w:hAnsi="宋体" w:eastAsia="宋体" w:cs="宋体"/>
          <w:w w:val="95"/>
          <w:sz w:val="24"/>
          <w:szCs w:val="24"/>
          <w:lang w:val="en-US" w:eastAsia="zh-CN"/>
        </w:rPr>
        <w:t xml:space="preserve"> </w:t>
      </w:r>
      <w:r>
        <w:rPr>
          <w:rFonts w:hint="eastAsia" w:ascii="宋体" w:hAnsi="宋体" w:eastAsia="宋体" w:cs="宋体"/>
          <w:sz w:val="24"/>
          <w:szCs w:val="24"/>
        </w:rPr>
        <w:t>本办法从2018</w:t>
      </w:r>
      <w:r>
        <w:rPr>
          <w:rFonts w:hint="eastAsia" w:ascii="宋体" w:hAnsi="宋体" w:eastAsia="宋体" w:cs="宋体"/>
          <w:spacing w:val="-3"/>
          <w:sz w:val="24"/>
          <w:szCs w:val="24"/>
        </w:rPr>
        <w:t>级本科生（暂不包括中外联合培养</w:t>
      </w:r>
      <w:r>
        <w:rPr>
          <w:rFonts w:hint="eastAsia" w:ascii="宋体" w:hAnsi="宋体" w:eastAsia="宋体" w:cs="宋体"/>
          <w:sz w:val="24"/>
          <w:szCs w:val="24"/>
        </w:rPr>
        <w:t>学生与滨江学院学生）开始试行，由校团委负责解释。</w:t>
      </w:r>
    </w:p>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sz w:val="24"/>
          <w:szCs w:val="24"/>
        </w:rPr>
        <w:sectPr>
          <w:footerReference r:id="rId4" w:type="default"/>
          <w:pgSz w:w="11910" w:h="16840"/>
          <w:pgMar w:top="900" w:right="1160" w:bottom="1440" w:left="1460" w:header="0" w:footer="1246" w:gutter="0"/>
        </w:sectPr>
      </w:pPr>
    </w:p>
    <w:p>
      <w:pPr>
        <w:keepNext w:val="0"/>
        <w:keepLines w:val="0"/>
        <w:pageBreakBefore w:val="0"/>
        <w:widowControl w:val="0"/>
        <w:kinsoku/>
        <w:wordWrap/>
        <w:overflowPunct/>
        <w:topLinePunct w:val="0"/>
        <w:autoSpaceDE/>
        <w:autoSpaceDN/>
        <w:bidi w:val="0"/>
        <w:adjustRightInd/>
        <w:snapToGrid/>
        <w:spacing w:before="3" w:line="360" w:lineRule="auto"/>
        <w:textAlignment w:val="auto"/>
        <w:rPr>
          <w:rFonts w:hint="eastAsia" w:ascii="宋体" w:hAnsi="宋体" w:eastAsia="宋体" w:cs="宋体"/>
          <w:b/>
          <w:bCs/>
          <w:sz w:val="24"/>
          <w:szCs w:val="24"/>
        </w:rPr>
      </w:pPr>
      <w:bookmarkStart w:id="2" w:name="_bookmark5"/>
      <w:bookmarkEnd w:id="2"/>
    </w:p>
    <w:p>
      <w:pPr>
        <w:keepNext w:val="0"/>
        <w:keepLines w:val="0"/>
        <w:pageBreakBefore w:val="0"/>
        <w:widowControl w:val="0"/>
        <w:kinsoku/>
        <w:wordWrap/>
        <w:overflowPunct/>
        <w:topLinePunct w:val="0"/>
        <w:autoSpaceDE/>
        <w:autoSpaceDN/>
        <w:bidi w:val="0"/>
        <w:adjustRightInd/>
        <w:snapToGrid/>
        <w:spacing w:before="0" w:line="360" w:lineRule="auto"/>
        <w:ind w:left="0" w:right="12" w:firstLine="482" w:firstLineChars="20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南京信息工程大学PU平台操作管理规定</w:t>
      </w:r>
    </w:p>
    <w:p>
      <w:pPr>
        <w:keepNext w:val="0"/>
        <w:keepLines w:val="0"/>
        <w:pageBreakBefore w:val="0"/>
        <w:widowControl w:val="0"/>
        <w:kinsoku/>
        <w:wordWrap/>
        <w:overflowPunct/>
        <w:topLinePunct w:val="0"/>
        <w:autoSpaceDE/>
        <w:autoSpaceDN/>
        <w:bidi w:val="0"/>
        <w:adjustRightInd/>
        <w:snapToGrid/>
        <w:spacing w:before="221" w:line="360" w:lineRule="auto"/>
        <w:ind w:left="100" w:right="111"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为进一步规范PU</w:t>
      </w:r>
      <w:r>
        <w:rPr>
          <w:rFonts w:hint="eastAsia" w:ascii="宋体" w:hAnsi="宋体" w:eastAsia="宋体" w:cs="宋体"/>
          <w:spacing w:val="-4"/>
          <w:sz w:val="24"/>
          <w:szCs w:val="24"/>
        </w:rPr>
        <w:t>平台使用，推动《南京信息工程大学第二课堂学</w:t>
      </w:r>
      <w:r>
        <w:rPr>
          <w:rFonts w:hint="eastAsia" w:ascii="宋体" w:hAnsi="宋体" w:eastAsia="宋体" w:cs="宋体"/>
          <w:spacing w:val="-8"/>
          <w:sz w:val="24"/>
          <w:szCs w:val="24"/>
        </w:rPr>
        <w:t>分实施及认定办法》深入广泛实施，为学生组织参与第二课堂活动、提</w:t>
      </w:r>
      <w:r>
        <w:rPr>
          <w:rFonts w:hint="eastAsia" w:ascii="宋体" w:hAnsi="宋体" w:eastAsia="宋体" w:cs="宋体"/>
          <w:sz w:val="24"/>
          <w:szCs w:val="24"/>
        </w:rPr>
        <w:t>升综合素质、助推成长成才提供工作载体和制度保障，现根据运行使用情况制定PU平台使用细则和管理规定。</w:t>
      </w:r>
    </w:p>
    <w:p>
      <w:pPr>
        <w:keepNext w:val="0"/>
        <w:keepLines w:val="0"/>
        <w:pageBreakBefore w:val="0"/>
        <w:widowControl w:val="0"/>
        <w:kinsoku/>
        <w:wordWrap/>
        <w:overflowPunct/>
        <w:topLinePunct w:val="0"/>
        <w:autoSpaceDE/>
        <w:autoSpaceDN/>
        <w:bidi w:val="0"/>
        <w:adjustRightInd/>
        <w:snapToGrid/>
        <w:spacing w:before="8" w:line="360" w:lineRule="auto"/>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0" w:line="360" w:lineRule="auto"/>
        <w:ind w:left="146" w:right="10" w:firstLine="482" w:firstLineChars="200"/>
        <w:jc w:val="center"/>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第一部分关于PU平台</w:t>
      </w:r>
    </w:p>
    <w:p>
      <w:pPr>
        <w:keepNext w:val="0"/>
        <w:keepLines w:val="0"/>
        <w:pageBreakBefore w:val="0"/>
        <w:widowControl w:val="0"/>
        <w:kinsoku/>
        <w:wordWrap/>
        <w:overflowPunct/>
        <w:topLinePunct w:val="0"/>
        <w:autoSpaceDE/>
        <w:autoSpaceDN/>
        <w:bidi w:val="0"/>
        <w:adjustRightInd/>
        <w:snapToGrid/>
        <w:spacing w:before="102"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一、PU平台简述</w:t>
      </w:r>
    </w:p>
    <w:p>
      <w:pPr>
        <w:keepNext w:val="0"/>
        <w:keepLines w:val="0"/>
        <w:pageBreakBefore w:val="0"/>
        <w:widowControl w:val="0"/>
        <w:kinsoku/>
        <w:wordWrap/>
        <w:overflowPunct/>
        <w:topLinePunct w:val="0"/>
        <w:autoSpaceDE/>
        <w:autoSpaceDN/>
        <w:bidi w:val="0"/>
        <w:adjustRightInd/>
        <w:snapToGrid/>
        <w:spacing w:before="197" w:line="360" w:lineRule="auto"/>
        <w:ind w:left="100" w:right="11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PU全称PocketUniversity，是针对高校大学生成长服务开发的互联网平台，为学生提供第二课堂在线服务。</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二、PU平台用途</w:t>
      </w:r>
    </w:p>
    <w:p>
      <w:pPr>
        <w:keepNext w:val="0"/>
        <w:keepLines w:val="0"/>
        <w:pageBreakBefore w:val="0"/>
        <w:widowControl w:val="0"/>
        <w:kinsoku/>
        <w:wordWrap/>
        <w:overflowPunct/>
        <w:topLinePunct w:val="0"/>
        <w:autoSpaceDE/>
        <w:autoSpaceDN/>
        <w:bidi w:val="0"/>
        <w:adjustRightInd/>
        <w:snapToGrid/>
        <w:spacing w:before="197" w:line="360" w:lineRule="auto"/>
        <w:ind w:left="100" w:right="111"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平台是我校指定使用的第二课堂活动开展网络平台和大学生素质教育实践学分记录平台，是《南京信息工程大学第二课堂学分实施及认定办法》实行的重要依托和保障。其具有客观记录学生参与第二课堂活动、取得素质教育实践学分和生成第二课堂成绩单的功能。自2018级学生开始，所有与素质教育实践学分关联的第二课堂行为均须通过PU</w:t>
      </w:r>
      <w:r>
        <w:rPr>
          <w:rFonts w:hint="eastAsia" w:ascii="宋体" w:hAnsi="宋体" w:eastAsia="宋体" w:cs="宋体"/>
          <w:spacing w:val="-8"/>
          <w:sz w:val="24"/>
          <w:szCs w:val="24"/>
        </w:rPr>
        <w:t>平台管理和记录。PU</w:t>
      </w:r>
      <w:r>
        <w:rPr>
          <w:rFonts w:hint="eastAsia" w:ascii="宋体" w:hAnsi="宋体" w:eastAsia="宋体" w:cs="宋体"/>
          <w:spacing w:val="-5"/>
          <w:sz w:val="24"/>
          <w:szCs w:val="24"/>
        </w:rPr>
        <w:t>平台记录的学时学分，作为学生参评奖评</w:t>
      </w:r>
      <w:r>
        <w:rPr>
          <w:rFonts w:hint="eastAsia" w:ascii="宋体" w:hAnsi="宋体" w:eastAsia="宋体" w:cs="宋体"/>
          <w:sz w:val="24"/>
          <w:szCs w:val="24"/>
        </w:rPr>
        <w:t>优推荐、研究生推免以及毕业资格审核的重要依据。</w:t>
      </w:r>
    </w:p>
    <w:p>
      <w:pPr>
        <w:keepNext w:val="0"/>
        <w:keepLines w:val="0"/>
        <w:pageBreakBefore w:val="0"/>
        <w:widowControl w:val="0"/>
        <w:kinsoku/>
        <w:wordWrap/>
        <w:overflowPunct/>
        <w:topLinePunct w:val="0"/>
        <w:autoSpaceDE/>
        <w:autoSpaceDN/>
        <w:bidi w:val="0"/>
        <w:adjustRightInd/>
        <w:snapToGrid/>
        <w:spacing w:before="0" w:line="360" w:lineRule="auto"/>
        <w:ind w:left="3017" w:right="115"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第二部分PU平台的管理</w:t>
      </w:r>
    </w:p>
    <w:p>
      <w:pPr>
        <w:keepNext w:val="0"/>
        <w:keepLines w:val="0"/>
        <w:pageBreakBefore w:val="0"/>
        <w:widowControl w:val="0"/>
        <w:kinsoku/>
        <w:wordWrap/>
        <w:overflowPunct/>
        <w:topLinePunct w:val="0"/>
        <w:autoSpaceDE/>
        <w:autoSpaceDN/>
        <w:bidi w:val="0"/>
        <w:adjustRightInd/>
        <w:snapToGrid/>
        <w:spacing w:before="102"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三、PU平台的管理架构</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学院PU</w:t>
      </w:r>
      <w:r>
        <w:rPr>
          <w:rFonts w:hint="eastAsia" w:ascii="宋体" w:hAnsi="宋体" w:eastAsia="宋体" w:cs="宋体"/>
          <w:spacing w:val="-3"/>
          <w:sz w:val="24"/>
          <w:szCs w:val="24"/>
        </w:rPr>
        <w:t>平台使用和管理分为三个层级，即校级管理、二级学院管</w:t>
      </w:r>
      <w:r>
        <w:rPr>
          <w:rFonts w:hint="eastAsia" w:ascii="宋体" w:hAnsi="宋体" w:eastAsia="宋体" w:cs="宋体"/>
          <w:sz w:val="24"/>
          <w:szCs w:val="24"/>
        </w:rPr>
        <w:t>理、班级和学生组织使用。</w:t>
      </w:r>
    </w:p>
    <w:p>
      <w:pPr>
        <w:keepNext w:val="0"/>
        <w:keepLines w:val="0"/>
        <w:pageBreakBefore w:val="0"/>
        <w:widowControl w:val="0"/>
        <w:kinsoku/>
        <w:wordWrap/>
        <w:overflowPunct/>
        <w:topLinePunct w:val="0"/>
        <w:autoSpaceDE/>
        <w:autoSpaceDN/>
        <w:bidi w:val="0"/>
        <w:adjustRightInd/>
        <w:snapToGrid/>
        <w:spacing w:before="232" w:line="360" w:lineRule="auto"/>
        <w:ind w:left="100" w:right="112"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1、校级层面由团委牵头，协调其他相关部门和二级学院参与。主</w:t>
      </w:r>
      <w:r>
        <w:rPr>
          <w:rFonts w:hint="eastAsia" w:ascii="宋体" w:hAnsi="宋体" w:eastAsia="宋体" w:cs="宋体"/>
          <w:sz w:val="24"/>
          <w:szCs w:val="24"/>
        </w:rPr>
        <w:t>要负责素质教育实践学分制度的制定和推广实施、PU平台的日常管理和技术维护、运行使用情况监控、受理处理各类问题等。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2、二级学院主要负责素质学分制度和PU平台在本单位的落实使</w:t>
      </w:r>
      <w:r>
        <w:rPr>
          <w:rFonts w:hint="eastAsia" w:ascii="宋体" w:hAnsi="宋体" w:eastAsia="宋体" w:cs="宋体"/>
          <w:spacing w:val="-8"/>
          <w:sz w:val="24"/>
          <w:szCs w:val="24"/>
        </w:rPr>
        <w:t>用。包括组建工作队伍、指导监督班级和学生组织按规则使用平台、把</w:t>
      </w:r>
      <w:r>
        <w:rPr>
          <w:rFonts w:hint="eastAsia" w:ascii="宋体" w:hAnsi="宋体" w:eastAsia="宋体" w:cs="宋体"/>
          <w:sz w:val="24"/>
          <w:szCs w:val="24"/>
        </w:rPr>
        <w:t>关活动的审核和素质教育实践学分的在线发放等。</w:t>
      </w:r>
    </w:p>
    <w:p>
      <w:pPr>
        <w:keepNext w:val="0"/>
        <w:keepLines w:val="0"/>
        <w:pageBreakBefore w:val="0"/>
        <w:widowControl w:val="0"/>
        <w:kinsoku/>
        <w:wordWrap/>
        <w:overflowPunct/>
        <w:topLinePunct w:val="0"/>
        <w:autoSpaceDE/>
        <w:autoSpaceDN/>
        <w:bidi w:val="0"/>
        <w:adjustRightInd/>
        <w:snapToGrid/>
        <w:spacing w:before="54" w:line="360" w:lineRule="auto"/>
        <w:ind w:left="100" w:right="1517"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3、班级和学生组织主要负责具体活动的发起和组织。</w:t>
      </w:r>
    </w:p>
    <w:p>
      <w:pPr>
        <w:keepNext w:val="0"/>
        <w:keepLines w:val="0"/>
        <w:pageBreakBefore w:val="0"/>
        <w:widowControl w:val="0"/>
        <w:kinsoku/>
        <w:wordWrap/>
        <w:overflowPunct/>
        <w:topLinePunct w:val="0"/>
        <w:autoSpaceDE/>
        <w:autoSpaceDN/>
        <w:bidi w:val="0"/>
        <w:adjustRightInd/>
        <w:snapToGrid/>
        <w:spacing w:before="54" w:line="360" w:lineRule="auto"/>
        <w:ind w:left="100" w:right="1517"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四、PU平台管理人员</w:t>
      </w:r>
    </w:p>
    <w:p>
      <w:pPr>
        <w:keepNext w:val="0"/>
        <w:keepLines w:val="0"/>
        <w:pageBreakBefore w:val="0"/>
        <w:widowControl w:val="0"/>
        <w:kinsoku/>
        <w:wordWrap/>
        <w:overflowPunct/>
        <w:topLinePunct w:val="0"/>
        <w:autoSpaceDE/>
        <w:autoSpaceDN/>
        <w:bidi w:val="0"/>
        <w:adjustRightInd/>
        <w:snapToGrid/>
        <w:spacing w:before="57"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PU平台的管理人员分为三类，即活动发起人、活动审批人、活动监督人。</w:t>
      </w:r>
    </w:p>
    <w:p>
      <w:pPr>
        <w:keepNext w:val="0"/>
        <w:keepLines w:val="0"/>
        <w:pageBreakBefore w:val="0"/>
        <w:widowControl w:val="0"/>
        <w:kinsoku/>
        <w:wordWrap/>
        <w:overflowPunct/>
        <w:topLinePunct w:val="0"/>
        <w:autoSpaceDE/>
        <w:autoSpaceDN/>
        <w:bidi w:val="0"/>
        <w:adjustRightInd/>
        <w:snapToGrid/>
        <w:spacing w:before="54" w:line="360" w:lineRule="auto"/>
        <w:ind w:left="100" w:right="111"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1、活动发起人：具有在线发起活动的权限。根据活动发起主体不</w:t>
      </w:r>
      <w:r>
        <w:rPr>
          <w:rFonts w:hint="eastAsia" w:ascii="宋体" w:hAnsi="宋体" w:eastAsia="宋体" w:cs="宋体"/>
          <w:spacing w:val="-8"/>
          <w:sz w:val="24"/>
          <w:szCs w:val="24"/>
        </w:rPr>
        <w:t>同。院级（班级）活动的发起人为指定的班干部和学院学生组织干部，</w:t>
      </w:r>
      <w:r>
        <w:rPr>
          <w:rFonts w:hint="eastAsia" w:ascii="宋体" w:hAnsi="宋体" w:eastAsia="宋体" w:cs="宋体"/>
          <w:sz w:val="24"/>
          <w:szCs w:val="24"/>
        </w:rPr>
        <w:t>校级及以上活动的发起人为校级学生组织干部、学院团委书记或者校团委。</w:t>
      </w:r>
    </w:p>
    <w:p>
      <w:pPr>
        <w:keepNext w:val="0"/>
        <w:keepLines w:val="0"/>
        <w:pageBreakBefore w:val="0"/>
        <w:widowControl w:val="0"/>
        <w:kinsoku/>
        <w:wordWrap/>
        <w:overflowPunct/>
        <w:topLinePunct w:val="0"/>
        <w:autoSpaceDE/>
        <w:autoSpaceDN/>
        <w:bidi w:val="0"/>
        <w:adjustRightInd/>
        <w:snapToGrid/>
        <w:spacing w:before="54" w:line="360" w:lineRule="auto"/>
        <w:ind w:left="100" w:right="114" w:firstLine="468" w:firstLineChars="200"/>
        <w:jc w:val="both"/>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2、活动审批人：具有对发起活动的审批权限。审批内容包括活动</w:t>
      </w:r>
      <w:r>
        <w:rPr>
          <w:rFonts w:hint="eastAsia" w:ascii="宋体" w:hAnsi="宋体" w:eastAsia="宋体" w:cs="宋体"/>
          <w:spacing w:val="-8"/>
          <w:sz w:val="24"/>
          <w:szCs w:val="24"/>
        </w:rPr>
        <w:t>性质、方案、规模、可行性等。院级（班级）活动审批人一般为学院团委书记、社团指导教师（管理教师）等，校级及以上活动审批人一般为</w:t>
      </w:r>
      <w:r>
        <w:rPr>
          <w:rFonts w:hint="eastAsia" w:ascii="宋体" w:hAnsi="宋体" w:eastAsia="宋体" w:cs="宋体"/>
          <w:sz w:val="24"/>
          <w:szCs w:val="24"/>
        </w:rPr>
        <w:t>校团委或学校其他职能部门。</w:t>
      </w:r>
    </w:p>
    <w:p>
      <w:pPr>
        <w:keepNext w:val="0"/>
        <w:keepLines w:val="0"/>
        <w:pageBreakBefore w:val="0"/>
        <w:widowControl w:val="0"/>
        <w:kinsoku/>
        <w:wordWrap/>
        <w:overflowPunct/>
        <w:topLinePunct w:val="0"/>
        <w:autoSpaceDE/>
        <w:autoSpaceDN/>
        <w:bidi w:val="0"/>
        <w:adjustRightInd/>
        <w:snapToGrid/>
        <w:spacing w:before="0" w:line="360" w:lineRule="auto"/>
        <w:ind w:right="113" w:firstLine="46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3"/>
          <w:sz w:val="24"/>
          <w:szCs w:val="24"/>
        </w:rPr>
        <w:t>3、活动监督人：具有对发起活动的抽查权和否决权，包括：活动</w:t>
      </w:r>
      <w:r>
        <w:rPr>
          <w:rFonts w:hint="eastAsia" w:ascii="宋体" w:hAnsi="宋体" w:eastAsia="宋体" w:cs="宋体"/>
          <w:sz w:val="24"/>
          <w:szCs w:val="24"/>
        </w:rPr>
        <w:t>经审批后，对活动的有关情况再次抽查；对于不符合相关规定的活动具有系统上的否决权，对于已经举办完但是不符合流程的予以不认定学分的决定等。</w:t>
      </w:r>
    </w:p>
    <w:p>
      <w:pPr>
        <w:keepNext w:val="0"/>
        <w:keepLines w:val="0"/>
        <w:pageBreakBefore w:val="0"/>
        <w:widowControl w:val="0"/>
        <w:kinsoku/>
        <w:wordWrap/>
        <w:overflowPunct/>
        <w:topLinePunct w:val="0"/>
        <w:autoSpaceDE/>
        <w:autoSpaceDN/>
        <w:bidi w:val="0"/>
        <w:adjustRightInd/>
        <w:snapToGrid/>
        <w:spacing w:before="0" w:line="360" w:lineRule="auto"/>
        <w:ind w:left="3017" w:right="115" w:firstLine="480" w:firstLineChars="20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0" w:line="360" w:lineRule="auto"/>
        <w:ind w:right="115" w:firstLine="482" w:firstLineChars="200"/>
        <w:jc w:val="center"/>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第三部分PU平台的运行</w:t>
      </w:r>
    </w:p>
    <w:p>
      <w:pPr>
        <w:keepNext w:val="0"/>
        <w:keepLines w:val="0"/>
        <w:pageBreakBefore w:val="0"/>
        <w:widowControl w:val="0"/>
        <w:kinsoku/>
        <w:wordWrap/>
        <w:overflowPunct/>
        <w:topLinePunct w:val="0"/>
        <w:autoSpaceDE/>
        <w:autoSpaceDN/>
        <w:bidi w:val="0"/>
        <w:adjustRightInd/>
        <w:snapToGrid/>
        <w:spacing w:before="6" w:line="360" w:lineRule="auto"/>
        <w:ind w:firstLine="482" w:firstLineChars="200"/>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before="54" w:line="360" w:lineRule="auto"/>
        <w:ind w:left="100" w:right="1517" w:firstLine="458" w:firstLineChars="200"/>
        <w:jc w:val="left"/>
        <w:textAlignment w:val="auto"/>
        <w:outlineLvl w:val="9"/>
        <w:rPr>
          <w:rFonts w:hint="eastAsia" w:ascii="宋体" w:hAnsi="宋体" w:eastAsia="宋体" w:cs="宋体"/>
          <w:b/>
          <w:bCs/>
          <w:w w:val="95"/>
          <w:sz w:val="24"/>
          <w:szCs w:val="24"/>
        </w:rPr>
      </w:pPr>
      <w:r>
        <w:rPr>
          <w:rFonts w:hint="eastAsia" w:ascii="宋体" w:hAnsi="宋体" w:eastAsia="宋体" w:cs="宋体"/>
          <w:b/>
          <w:bCs/>
          <w:w w:val="95"/>
          <w:sz w:val="24"/>
          <w:szCs w:val="24"/>
        </w:rPr>
        <w:t>五、PU平台用户</w:t>
      </w:r>
    </w:p>
    <w:p>
      <w:pPr>
        <w:keepNext w:val="0"/>
        <w:keepLines w:val="0"/>
        <w:pageBreakBefore w:val="0"/>
        <w:widowControl w:val="0"/>
        <w:kinsoku/>
        <w:wordWrap/>
        <w:overflowPunct/>
        <w:topLinePunct w:val="0"/>
        <w:autoSpaceDE/>
        <w:autoSpaceDN/>
        <w:bidi w:val="0"/>
        <w:adjustRightInd/>
        <w:snapToGrid/>
        <w:spacing w:before="57"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所有PU管理人员、普通学生（2018级起）均是PU平台用户。用户凭账号登录使用，教师账号为工号，初始密码为：111111，学生的账</w:t>
      </w:r>
      <w:r>
        <w:rPr>
          <w:rFonts w:hint="eastAsia" w:ascii="宋体" w:hAnsi="宋体" w:eastAsia="宋体" w:cs="宋体"/>
          <w:sz w:val="24"/>
          <w:szCs w:val="24"/>
        </w:rPr>
        <w:t>号为学号</w:t>
      </w:r>
      <w:r>
        <w:rPr>
          <w:rFonts w:hint="eastAsia" w:ascii="宋体" w:hAnsi="宋体" w:eastAsia="宋体" w:cs="宋体"/>
          <w:sz w:val="24"/>
          <w:szCs w:val="24"/>
        </w:rPr>
        <w:t>，初始密码为：111111</w:t>
      </w:r>
      <w:r>
        <w:rPr>
          <w:rFonts w:hint="eastAsia" w:ascii="宋体" w:hAnsi="宋体" w:eastAsia="宋体" w:cs="宋体"/>
          <w:sz w:val="24"/>
          <w:szCs w:val="24"/>
        </w:rPr>
        <w:t>，登录后需及时修改密码。</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58" w:firstLineChars="200"/>
        <w:jc w:val="left"/>
        <w:textAlignment w:val="auto"/>
        <w:outlineLvl w:val="9"/>
        <w:rPr>
          <w:rFonts w:hint="eastAsia" w:ascii="宋体" w:hAnsi="宋体" w:eastAsia="宋体" w:cs="宋体"/>
          <w:sz w:val="24"/>
          <w:szCs w:val="24"/>
        </w:rPr>
      </w:pPr>
      <w:r>
        <w:rPr>
          <w:rFonts w:hint="eastAsia" w:ascii="宋体" w:hAnsi="宋体" w:eastAsia="宋体" w:cs="宋体"/>
          <w:b/>
          <w:bCs/>
          <w:w w:val="95"/>
          <w:sz w:val="24"/>
          <w:szCs w:val="24"/>
        </w:rPr>
        <w:t>六、PU平台操作方法</w:t>
      </w:r>
    </w:p>
    <w:p>
      <w:pPr>
        <w:keepNext w:val="0"/>
        <w:keepLines w:val="0"/>
        <w:pageBreakBefore w:val="0"/>
        <w:widowControl w:val="0"/>
        <w:kinsoku/>
        <w:wordWrap/>
        <w:overflowPunct/>
        <w:topLinePunct w:val="0"/>
        <w:autoSpaceDE/>
        <w:autoSpaceDN/>
        <w:bidi w:val="0"/>
        <w:adjustRightInd/>
        <w:snapToGrid/>
        <w:spacing w:before="57"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1、PU平台有</w:t>
      </w:r>
      <w:r>
        <w:rPr>
          <w:rFonts w:hint="eastAsia" w:ascii="宋体" w:hAnsi="宋体" w:eastAsia="宋体" w:cs="宋体"/>
          <w:sz w:val="24"/>
          <w:szCs w:val="24"/>
        </w:rPr>
        <w:t>PC端和手机端两个通道。</w:t>
      </w:r>
      <w:r>
        <w:rPr>
          <w:rFonts w:hint="eastAsia" w:ascii="宋体" w:hAnsi="宋体" w:eastAsia="宋体" w:cs="宋体"/>
          <w:sz w:val="24"/>
          <w:szCs w:val="24"/>
        </w:rPr>
        <w:t>PC端可通过网址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"http://www.pocketuni.net/" \h </w:instrText>
      </w:r>
      <w:r>
        <w:rPr>
          <w:rFonts w:hint="eastAsia" w:ascii="宋体" w:hAnsi="宋体" w:eastAsia="宋体" w:cs="宋体"/>
          <w:sz w:val="24"/>
          <w:szCs w:val="24"/>
        </w:rPr>
        <w:fldChar w:fldCharType="separate"/>
      </w:r>
      <w:r>
        <w:rPr>
          <w:rFonts w:hint="eastAsia" w:ascii="宋体" w:hAnsi="宋体" w:eastAsia="宋体" w:cs="宋体"/>
          <w:sz w:val="24"/>
          <w:szCs w:val="24"/>
        </w:rPr>
        <w:t>http://www.pocketuni.net/</w:t>
      </w:r>
      <w:r>
        <w:rPr>
          <w:rFonts w:hint="eastAsia" w:ascii="宋体" w:hAnsi="宋体" w:eastAsia="宋体" w:cs="宋体"/>
          <w:sz w:val="24"/>
          <w:szCs w:val="24"/>
        </w:rPr>
        <w:fldChar w:fldCharType="end"/>
      </w:r>
      <w:r>
        <w:rPr>
          <w:rFonts w:hint="eastAsia" w:ascii="宋体" w:hAnsi="宋体" w:eastAsia="宋体" w:cs="宋体"/>
          <w:sz w:val="24"/>
          <w:szCs w:val="24"/>
        </w:rPr>
        <w:t>登陆，也可点击校园网主页面右下端“口袋校园”链接登陆；手机端可下载APP，在下载软件程序中搜索“PU”，点击下载安装即可，也可通过扫描校园网主页面右下端“口袋校园”二</w:t>
      </w:r>
      <w:r>
        <w:rPr>
          <w:rFonts w:hint="eastAsia" w:ascii="宋体" w:hAnsi="宋体" w:eastAsia="宋体" w:cs="宋体"/>
          <w:sz w:val="24"/>
          <w:szCs w:val="24"/>
        </w:rPr>
        <w:t>维码下载安装。</w:t>
      </w:r>
    </w:p>
    <w:p>
      <w:pPr>
        <w:keepNext w:val="0"/>
        <w:keepLines w:val="0"/>
        <w:pageBreakBefore w:val="0"/>
        <w:widowControl w:val="0"/>
        <w:kinsoku/>
        <w:wordWrap/>
        <w:overflowPunct/>
        <w:topLinePunct w:val="0"/>
        <w:autoSpaceDE/>
        <w:autoSpaceDN/>
        <w:bidi w:val="0"/>
        <w:adjustRightInd/>
        <w:snapToGrid/>
        <w:spacing w:before="0" w:line="360" w:lineRule="auto"/>
        <w:ind w:left="594" w:right="10" w:firstLine="480" w:firstLineChars="2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1209675" cy="11258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8" cstate="print"/>
                    <a:stretch>
                      <a:fillRect/>
                    </a:stretch>
                  </pic:blipFill>
                  <pic:spPr>
                    <a:xfrm>
                      <a:off x="0" y="0"/>
                      <a:ext cx="1210055" cy="1126236"/>
                    </a:xfrm>
                    <a:prstGeom prst="rect">
                      <a:avLst/>
                    </a:prstGeom>
                  </pic:spPr>
                </pic:pic>
              </a:graphicData>
            </a:graphic>
          </wp:inline>
        </w:drawing>
      </w:r>
      <w:r>
        <w:rPr>
          <w:rFonts w:hint="eastAsia" w:ascii="宋体" w:hAnsi="宋体" w:eastAsia="宋体" w:cs="宋体"/>
          <w:sz w:val="24"/>
          <w:szCs w:val="24"/>
        </w:rPr>
        <w:t>扫描下载二维码</w:t>
      </w:r>
    </w:p>
    <w:p>
      <w:pPr>
        <w:keepNext w:val="0"/>
        <w:keepLines w:val="0"/>
        <w:pageBreakBefore w:val="0"/>
        <w:widowControl w:val="0"/>
        <w:kinsoku/>
        <w:wordWrap/>
        <w:overflowPunct/>
        <w:topLinePunct w:val="0"/>
        <w:autoSpaceDE/>
        <w:autoSpaceDN/>
        <w:bidi w:val="0"/>
        <w:adjustRightInd/>
        <w:snapToGrid/>
        <w:spacing w:before="120" w:line="360" w:lineRule="auto"/>
        <w:ind w:left="100" w:right="114"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PC端可进行所有操作和管理，手机端仅可报名参与活动、查看个人信息、接收通知等。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2、我校PU平台以学时数的方式（基于方便操作管理考虑）记录学生第二课堂行为和结果，毕业时转换成学分。PU记录的基本操作和赋分方式有发起活动、批量导入、个人申请三种。</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（1）发起活动（发起活动操作流程简图附后）</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rPr>
        <w:t>主要用</w:t>
      </w:r>
      <w:r>
        <w:rPr>
          <w:rFonts w:hint="eastAsia" w:ascii="宋体" w:hAnsi="宋体" w:eastAsia="宋体" w:cs="宋体"/>
          <w:spacing w:val="2"/>
          <w:sz w:val="24"/>
          <w:szCs w:val="24"/>
        </w:rPr>
        <w:t>于学生参与活动过程管理，发起的活动具有现场性、时</w:t>
      </w:r>
      <w:r>
        <w:rPr>
          <w:rFonts w:hint="eastAsia" w:ascii="宋体" w:hAnsi="宋体" w:eastAsia="宋体" w:cs="宋体"/>
          <w:sz w:val="24"/>
          <w:szCs w:val="24"/>
        </w:rPr>
        <w:t>间跨度较小的特征，如参加讲座、参加培训、班级团日活动等。</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GB3 \* MERGEFORMAT </w:instrText>
      </w:r>
      <w:r>
        <w:rPr>
          <w:rFonts w:hint="eastAsia" w:ascii="宋体" w:hAnsi="宋体" w:eastAsia="宋体" w:cs="宋体"/>
          <w:sz w:val="24"/>
          <w:szCs w:val="24"/>
          <w:lang w:val="en-US" w:eastAsia="zh-CN"/>
        </w:rPr>
        <w:fldChar w:fldCharType="separate"/>
      </w:r>
      <w:r>
        <w:t>②</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w:t>
      </w:r>
      <w:r>
        <w:rPr>
          <w:rFonts w:hint="eastAsia" w:ascii="宋体" w:hAnsi="宋体" w:eastAsia="宋体" w:cs="宋体"/>
          <w:sz w:val="24"/>
          <w:szCs w:val="24"/>
        </w:rPr>
        <w:t>动发起人在线发起</w:t>
      </w:r>
      <w:r>
        <w:rPr>
          <w:rFonts w:hint="eastAsia" w:ascii="宋体" w:hAnsi="宋体" w:eastAsia="宋体" w:cs="宋体"/>
          <w:spacing w:val="-77"/>
          <w:sz w:val="24"/>
          <w:szCs w:val="24"/>
        </w:rPr>
        <w:t>，</w:t>
      </w:r>
      <w:r>
        <w:rPr>
          <w:rFonts w:hint="eastAsia" w:ascii="宋体" w:hAnsi="宋体" w:eastAsia="宋体" w:cs="宋体"/>
          <w:sz w:val="24"/>
          <w:szCs w:val="24"/>
        </w:rPr>
        <w:t>须填写活动级别</w:t>
      </w:r>
      <w:r>
        <w:rPr>
          <w:rFonts w:hint="eastAsia" w:ascii="宋体" w:hAnsi="宋体" w:eastAsia="宋体" w:cs="宋体"/>
          <w:spacing w:val="-77"/>
          <w:sz w:val="24"/>
          <w:szCs w:val="24"/>
        </w:rPr>
        <w:t>、</w:t>
      </w:r>
      <w:r>
        <w:rPr>
          <w:rFonts w:hint="eastAsia" w:ascii="宋体" w:hAnsi="宋体" w:eastAsia="宋体" w:cs="宋体"/>
          <w:sz w:val="24"/>
          <w:szCs w:val="24"/>
        </w:rPr>
        <w:t>活动名称</w:t>
      </w:r>
      <w:r>
        <w:rPr>
          <w:rFonts w:hint="eastAsia" w:ascii="宋体" w:hAnsi="宋体" w:eastAsia="宋体" w:cs="宋体"/>
          <w:spacing w:val="-77"/>
          <w:sz w:val="24"/>
          <w:szCs w:val="24"/>
        </w:rPr>
        <w:t>、</w:t>
      </w:r>
      <w:r>
        <w:rPr>
          <w:rFonts w:hint="eastAsia" w:ascii="宋体" w:hAnsi="宋体" w:eastAsia="宋体" w:cs="宋体"/>
          <w:sz w:val="24"/>
          <w:szCs w:val="24"/>
        </w:rPr>
        <w:t>活动简介、</w:t>
      </w:r>
      <w:r>
        <w:rPr>
          <w:rFonts w:hint="eastAsia" w:ascii="宋体" w:hAnsi="宋体" w:eastAsia="宋体" w:cs="宋体"/>
          <w:spacing w:val="2"/>
          <w:sz w:val="24"/>
          <w:szCs w:val="24"/>
        </w:rPr>
        <w:t>归属组织等基本信息。活动发起标题格式:【发起单位全称（如院系、</w:t>
      </w:r>
      <w:r>
        <w:rPr>
          <w:rFonts w:hint="eastAsia" w:ascii="宋体" w:hAnsi="宋体" w:eastAsia="宋体" w:cs="宋体"/>
          <w:spacing w:val="-8"/>
          <w:sz w:val="24"/>
          <w:szCs w:val="24"/>
        </w:rPr>
        <w:t>班级、社团等）】＋活动名称。其中，学时数由系统根据申请级别自行</w:t>
      </w:r>
      <w:r>
        <w:rPr>
          <w:rFonts w:hint="eastAsia" w:ascii="宋体" w:hAnsi="宋体" w:eastAsia="宋体" w:cs="宋体"/>
          <w:spacing w:val="2"/>
          <w:sz w:val="24"/>
          <w:szCs w:val="24"/>
        </w:rPr>
        <w:t>认定，签到签退功能是活动有序参与的重要保障，根据活动具体情况</w:t>
      </w:r>
      <w:r>
        <w:rPr>
          <w:rFonts w:hint="eastAsia" w:ascii="宋体" w:hAnsi="宋体" w:eastAsia="宋体" w:cs="宋体"/>
          <w:sz w:val="24"/>
          <w:szCs w:val="24"/>
        </w:rPr>
        <w:t>设置。发起活动时，须同时在线提交活动方案，以备审核人员查看评估。</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 MERGEFORMAT </w:instrText>
      </w:r>
      <w:r>
        <w:rPr>
          <w:rFonts w:hint="eastAsia" w:ascii="宋体" w:hAnsi="宋体" w:eastAsia="宋体" w:cs="宋体"/>
          <w:sz w:val="24"/>
          <w:szCs w:val="24"/>
          <w:lang w:val="en-US" w:eastAsia="zh-CN"/>
        </w:rPr>
        <w:fldChar w:fldCharType="separate"/>
      </w:r>
      <w: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活动发起人选择审批人员时，须遵循归口原则（具体见下文），即根据活动举办的归属组织准确选择（如：班级干部发起活动后，选择学院团委书记进行审核）。</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4 \* GB3 \* MERGEFORMAT </w:instrText>
      </w:r>
      <w:r>
        <w:rPr>
          <w:rFonts w:hint="eastAsia" w:ascii="宋体" w:hAnsi="宋体" w:eastAsia="宋体" w:cs="宋体"/>
          <w:sz w:val="24"/>
          <w:szCs w:val="24"/>
          <w:lang w:val="en-US" w:eastAsia="zh-CN"/>
        </w:rPr>
        <w:fldChar w:fldCharType="separate"/>
      </w:r>
      <w:r>
        <w:t>④</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活动发起步骤完成后，进入审批程序。审批人员在后台“活动管理”栏目中可看到活动显示“待审批”状态，打开该活动项目右侧的“编辑”功能，可进行审核。审核的具体步骤是：第一，通过活动</w:t>
      </w:r>
      <w:r>
        <w:rPr>
          <w:rFonts w:hint="eastAsia" w:ascii="宋体" w:hAnsi="宋体" w:eastAsia="宋体" w:cs="宋体"/>
          <w:spacing w:val="-8"/>
          <w:sz w:val="24"/>
          <w:szCs w:val="24"/>
        </w:rPr>
        <w:t>信息确认该活动是否符合发起开展条件，如不符合（比如：不属于第二课堂活动），可点击活动项目右侧的“驳回”项，予以驳回，并可填写驳回理由；第二，活动符合发起条件可以开展的，须对发起人填写的活动信</w:t>
      </w:r>
      <w:r>
        <w:rPr>
          <w:rFonts w:hint="eastAsia" w:ascii="宋体" w:hAnsi="宋体" w:eastAsia="宋体" w:cs="宋体"/>
          <w:sz w:val="24"/>
          <w:szCs w:val="24"/>
        </w:rPr>
        <w:t>息进行详细审核。如活动信息存在重大问题需发起人自己修改的，可</w:t>
      </w:r>
      <w:r>
        <w:rPr>
          <w:rFonts w:hint="eastAsia" w:ascii="宋体" w:hAnsi="宋体" w:eastAsia="宋体" w:cs="宋体"/>
          <w:spacing w:val="-8"/>
          <w:sz w:val="24"/>
          <w:szCs w:val="24"/>
        </w:rPr>
        <w:t>在“驳回”选项中选择“打回修改”并填写理由，待修改再次提交后，</w:t>
      </w:r>
      <w:r>
        <w:rPr>
          <w:rFonts w:hint="eastAsia" w:ascii="宋体" w:hAnsi="宋体" w:eastAsia="宋体" w:cs="宋体"/>
          <w:sz w:val="24"/>
          <w:szCs w:val="24"/>
        </w:rPr>
        <w:t>重复审批步骤。如存在一般问题审核人方便直接修改的（如学时数过</w:t>
      </w:r>
      <w:r>
        <w:rPr>
          <w:rFonts w:hint="eastAsia" w:ascii="宋体" w:hAnsi="宋体" w:eastAsia="宋体" w:cs="宋体"/>
          <w:spacing w:val="-17"/>
          <w:sz w:val="24"/>
          <w:szCs w:val="24"/>
        </w:rPr>
        <w:t>多），可直接进行修改操作。修改完毕点击“确认”，然后点击活动项目</w:t>
      </w:r>
      <w:r>
        <w:rPr>
          <w:rFonts w:hint="eastAsia" w:ascii="宋体" w:hAnsi="宋体" w:eastAsia="宋体" w:cs="宋体"/>
          <w:sz w:val="24"/>
          <w:szCs w:val="24"/>
        </w:rPr>
        <w:t>右侧的“通过”选项。</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5 \* GB3 \* MERGEFORMAT </w:instrText>
      </w:r>
      <w:r>
        <w:rPr>
          <w:rFonts w:hint="eastAsia" w:ascii="宋体" w:hAnsi="宋体" w:eastAsia="宋体" w:cs="宋体"/>
          <w:sz w:val="24"/>
          <w:szCs w:val="24"/>
          <w:lang w:val="en-US" w:eastAsia="zh-CN"/>
        </w:rPr>
        <w:fldChar w:fldCharType="separate"/>
      </w:r>
      <w:r>
        <w:t>⑤</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活动按照预定计划开展，在此过程中，PU平台发挥活动报名、签到签退、学时记录功能，辅助活动的过程管理。</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⑥活动结束后，发起人在线申请活动完结。申请时，须上传标志性活动照片，填写活动总结（200字以内）。“附件”功能可以上传多张照片、文档。提交后，等待完结终审，并遵循归口原则来选择审批人。</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审批人员在后台“活动管理”栏目中可看到该活动显示“待完结”状态。完结终审分为两个步骤：第一，打开待完结活动右侧的“编辑”选项，再次核对活动信息，如该活动在开展期间发生变化的（如学时需要调整），此时仍可由终审人员直接修改，修改完点击确定即可；第二，打开待完结活动右侧的“查看申请内容”选项，可查看活动照片和总结。如符合完结条件，点击“通过，发放积分”，参与活动的学生次日可获得相应学时；如照片、总结材料不完善需修改，可点击“驳回修改”并填写理由，待修改再次提交后，重复完结终审步骤；如终审人员认为该活动因故不可发放学时，可点击“结束活动，不发放积分”。至此，发起活动的全部过程完成。</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（2）批量导入</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仅适用于已知可获得学时但无凭证或人数较多不便逐个申请的，如学生参与社团、担任学生干部、校级五四评奖评优等发放学时等情形。</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t>②</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如确有必要使用批量导入功能，须向团委PU管理中心申请报备。批量导入仅校级管理员帐号具有审核权限。</w:t>
      </w:r>
    </w:p>
    <w:p>
      <w:pPr>
        <w:keepNext w:val="0"/>
        <w:keepLines w:val="0"/>
        <w:pageBreakBefore w:val="0"/>
        <w:widowControl w:val="0"/>
        <w:kinsoku/>
        <w:wordWrap/>
        <w:overflowPunct/>
        <w:topLinePunct w:val="0"/>
        <w:autoSpaceDE/>
        <w:autoSpaceDN/>
        <w:bidi w:val="0"/>
        <w:adjustRightInd/>
        <w:snapToGrid/>
        <w:spacing w:before="0" w:line="360" w:lineRule="auto"/>
        <w:ind w:left="10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 MERGEFORMAT </w:instrText>
      </w:r>
      <w:r>
        <w:rPr>
          <w:rFonts w:hint="eastAsia" w:ascii="宋体" w:hAnsi="宋体" w:eastAsia="宋体" w:cs="宋体"/>
          <w:sz w:val="24"/>
          <w:szCs w:val="24"/>
          <w:lang w:val="en-US" w:eastAsia="zh-CN"/>
        </w:rPr>
        <w:fldChar w:fldCharType="separate"/>
      </w:r>
      <w: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批量导入确需批量导入参与或奖励学时的，由</w:t>
      </w:r>
      <w:r>
        <w:rPr>
          <w:rFonts w:hint="eastAsia" w:ascii="宋体" w:hAnsi="宋体" w:eastAsia="宋体" w:cs="宋体"/>
          <w:sz w:val="24"/>
          <w:szCs w:val="24"/>
        </w:rPr>
        <w:t>以下单位导入：</w:t>
      </w:r>
    </w:p>
    <w:p>
      <w:pPr>
        <w:keepNext w:val="0"/>
        <w:keepLines w:val="0"/>
        <w:pageBreakBefore w:val="0"/>
        <w:widowControl w:val="0"/>
        <w:kinsoku/>
        <w:wordWrap/>
        <w:overflowPunct/>
        <w:topLinePunct w:val="0"/>
        <w:autoSpaceDE/>
        <w:autoSpaceDN/>
        <w:bidi w:val="0"/>
        <w:adjustRightInd/>
        <w:snapToGrid/>
        <w:spacing w:before="54" w:line="360" w:lineRule="auto"/>
        <w:ind w:left="100" w:right="399" w:firstLine="44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学院：学院级别的评奖评优产生的学时（仅限三好学生，优秀学生</w:t>
      </w:r>
      <w:r>
        <w:rPr>
          <w:rFonts w:hint="eastAsia" w:ascii="宋体" w:hAnsi="宋体" w:eastAsia="宋体" w:cs="宋体"/>
          <w:sz w:val="24"/>
          <w:szCs w:val="24"/>
        </w:rPr>
        <w:t>干部、优秀共青团员、优秀共青团干部）</w:t>
      </w:r>
    </w:p>
    <w:p>
      <w:pPr>
        <w:keepNext w:val="0"/>
        <w:keepLines w:val="0"/>
        <w:pageBreakBefore w:val="0"/>
        <w:widowControl w:val="0"/>
        <w:kinsoku/>
        <w:wordWrap/>
        <w:overflowPunct/>
        <w:topLinePunct w:val="0"/>
        <w:autoSpaceDE/>
        <w:autoSpaceDN/>
        <w:bidi w:val="0"/>
        <w:adjustRightInd/>
        <w:snapToGrid/>
        <w:spacing w:before="0" w:line="360" w:lineRule="auto"/>
        <w:ind w:left="100" w:right="115" w:firstLine="44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8"/>
          <w:sz w:val="24"/>
          <w:szCs w:val="24"/>
        </w:rPr>
        <w:t>团委：校团委、校级学生组织评奖评优产生的学时（如校级优秀共青团员、校级优秀共青团干部、团学之星、五四标兵、校级学生组织优</w:t>
      </w:r>
      <w:r>
        <w:rPr>
          <w:rFonts w:hint="eastAsia" w:ascii="宋体" w:hAnsi="宋体" w:eastAsia="宋体" w:cs="宋体"/>
          <w:sz w:val="24"/>
          <w:szCs w:val="24"/>
        </w:rPr>
        <w:t>秀干事等）</w:t>
      </w:r>
    </w:p>
    <w:p>
      <w:pPr>
        <w:keepNext w:val="0"/>
        <w:keepLines w:val="0"/>
        <w:pageBreakBefore w:val="0"/>
        <w:widowControl w:val="0"/>
        <w:kinsoku/>
        <w:wordWrap/>
        <w:overflowPunct/>
        <w:topLinePunct w:val="0"/>
        <w:autoSpaceDE/>
        <w:autoSpaceDN/>
        <w:bidi w:val="0"/>
        <w:adjustRightInd/>
        <w:snapToGrid/>
        <w:spacing w:before="54" w:line="360" w:lineRule="auto"/>
        <w:ind w:left="100" w:right="399"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学工处：学工处组织评奖评优产生的学时（如校级三好学生，校级</w:t>
      </w:r>
      <w:r>
        <w:rPr>
          <w:rFonts w:hint="eastAsia" w:ascii="宋体" w:hAnsi="宋体" w:eastAsia="宋体" w:cs="宋体"/>
          <w:sz w:val="24"/>
          <w:szCs w:val="24"/>
        </w:rPr>
        <w:t>优秀学生干部等）</w:t>
      </w:r>
    </w:p>
    <w:p>
      <w:pPr>
        <w:keepNext w:val="0"/>
        <w:keepLines w:val="0"/>
        <w:pageBreakBefore w:val="0"/>
        <w:widowControl w:val="0"/>
        <w:kinsoku/>
        <w:wordWrap/>
        <w:overflowPunct/>
        <w:topLinePunct w:val="0"/>
        <w:autoSpaceDE/>
        <w:autoSpaceDN/>
        <w:bidi w:val="0"/>
        <w:adjustRightInd/>
        <w:snapToGrid/>
        <w:spacing w:before="54" w:line="360" w:lineRule="auto"/>
        <w:ind w:left="100" w:right="399"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教务处：教务处组织评</w:t>
      </w:r>
      <w:r>
        <w:rPr>
          <w:rFonts w:hint="eastAsia" w:ascii="宋体" w:hAnsi="宋体" w:eastAsia="宋体" w:cs="宋体"/>
          <w:spacing w:val="2"/>
          <w:sz w:val="24"/>
          <w:szCs w:val="24"/>
        </w:rPr>
        <w:t>奖评优产生的学时、教务处开展大学生创</w:t>
      </w:r>
      <w:r>
        <w:rPr>
          <w:rFonts w:hint="eastAsia" w:ascii="宋体" w:hAnsi="宋体" w:eastAsia="宋体" w:cs="宋体"/>
          <w:sz w:val="24"/>
          <w:szCs w:val="24"/>
        </w:rPr>
        <w:t>新创业项目产生的学时。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1" w:firstLine="488" w:firstLineChars="200"/>
        <w:jc w:val="left"/>
        <w:textAlignment w:val="auto"/>
        <w:outlineLvl w:val="9"/>
        <w:rPr>
          <w:rFonts w:hint="eastAsia" w:ascii="宋体" w:hAnsi="宋体" w:eastAsia="宋体" w:cs="宋体"/>
          <w:sz w:val="24"/>
          <w:szCs w:val="24"/>
        </w:rPr>
      </w:pPr>
      <w:r>
        <w:rPr>
          <w:rFonts w:hint="eastAsia" w:ascii="宋体" w:hAnsi="宋体" w:eastAsia="宋体" w:cs="宋体"/>
          <w:spacing w:val="2"/>
          <w:sz w:val="24"/>
          <w:szCs w:val="24"/>
        </w:rPr>
        <w:t>其他部门组织活动所产生的学时由该部门与学院沟通后由学院批</w:t>
      </w:r>
      <w:r>
        <w:rPr>
          <w:rFonts w:hint="eastAsia" w:ascii="宋体" w:hAnsi="宋体" w:eastAsia="宋体" w:cs="宋体"/>
          <w:sz w:val="24"/>
          <w:szCs w:val="24"/>
        </w:rPr>
        <w:t>量导入。</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具体批量导入项目见《南京信息工程大学第二课堂成绩单实施办法（修订）》，表中未列出但缺需导入的，由各院系、部门确定。</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（3）个人申请</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rPr>
        <w:t>主要适用于学生申请学时，如个人取得荣誉、获得表彰、发表论</w:t>
      </w:r>
      <w:r>
        <w:rPr>
          <w:rFonts w:hint="eastAsia" w:ascii="宋体" w:hAnsi="宋体" w:eastAsia="宋体" w:cs="宋体"/>
          <w:sz w:val="24"/>
          <w:szCs w:val="24"/>
        </w:rPr>
        <w:t>文、考取职业技能证书等。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t>②</w:t>
      </w:r>
      <w:r>
        <w:rPr>
          <w:rFonts w:hint="eastAsia" w:ascii="宋体" w:hAnsi="宋体" w:eastAsia="宋体" w:cs="宋体"/>
          <w:sz w:val="24"/>
          <w:szCs w:val="24"/>
        </w:rPr>
        <w:fldChar w:fldCharType="end"/>
      </w:r>
      <w:r>
        <w:rPr>
          <w:rFonts w:hint="eastAsia" w:ascii="宋体" w:hAnsi="宋体" w:eastAsia="宋体" w:cs="宋体"/>
          <w:sz w:val="24"/>
          <w:szCs w:val="24"/>
        </w:rPr>
        <w:t>申请步骤：</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A、在学院PU主页面点击“申请综合素质学时”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B、选择申请类别，根据所申请内容进行选择。如：省优秀青年志愿者奖项，选择“社会服务”—“奖励学时申请/表彰”。</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填写申请资料。按照系统指定的条目如实填写资料，准确选择获奖类型、学时数。必须在“上传文件”选项中上传申请凭证，如获奖证书等。选择审核人时，仍遵循“归口原则”，即谁主办（主管）谁审核，审核人员为各学院、部门的审批人员。填写完成后，点击页面下端“提交申请”，完成申请。</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D、审核人在系统后台“综合素质学时认定”栏目中可看到“待审核”的个人申请项目。点击该项目右侧的“审核”，对申请人提交的基</w:t>
      </w:r>
      <w:r>
        <w:rPr>
          <w:rFonts w:hint="eastAsia" w:ascii="宋体" w:hAnsi="宋体" w:eastAsia="宋体" w:cs="宋体"/>
          <w:sz w:val="24"/>
          <w:szCs w:val="24"/>
        </w:rPr>
        <w:t>本信</w:t>
      </w:r>
      <w:r>
        <w:rPr>
          <w:rFonts w:hint="eastAsia" w:ascii="宋体" w:hAnsi="宋体" w:eastAsia="宋体" w:cs="宋体"/>
          <w:sz w:val="24"/>
          <w:szCs w:val="24"/>
        </w:rPr>
        <w:t>息、</w:t>
      </w:r>
      <w:r>
        <w:rPr>
          <w:rFonts w:hint="eastAsia" w:ascii="宋体" w:hAnsi="宋体" w:eastAsia="宋体" w:cs="宋体"/>
          <w:sz w:val="24"/>
          <w:szCs w:val="24"/>
        </w:rPr>
        <w:t>申请凭证、</w:t>
      </w:r>
      <w:r>
        <w:rPr>
          <w:rFonts w:hint="eastAsia" w:ascii="宋体" w:hAnsi="宋体" w:eastAsia="宋体" w:cs="宋体"/>
          <w:sz w:val="24"/>
          <w:szCs w:val="24"/>
        </w:rPr>
        <w:t>学时数等进行审核。</w:t>
      </w:r>
      <w:r>
        <w:rPr>
          <w:rFonts w:hint="eastAsia" w:ascii="宋体" w:hAnsi="宋体" w:eastAsia="宋体" w:cs="宋体"/>
          <w:sz w:val="24"/>
          <w:szCs w:val="24"/>
        </w:rPr>
        <w:t>如无问题，</w:t>
      </w:r>
      <w:r>
        <w:rPr>
          <w:rFonts w:hint="eastAsia" w:ascii="宋体" w:hAnsi="宋体" w:eastAsia="宋体" w:cs="宋体"/>
          <w:sz w:val="24"/>
          <w:szCs w:val="24"/>
        </w:rPr>
        <w:t>点击</w:t>
      </w:r>
      <w:r>
        <w:rPr>
          <w:rFonts w:hint="eastAsia" w:ascii="宋体" w:hAnsi="宋体" w:eastAsia="宋体" w:cs="宋体"/>
          <w:sz w:val="24"/>
          <w:szCs w:val="24"/>
        </w:rPr>
        <w:t>“审核通过”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如不符合申请条件，点击“驳回”。</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七、PU平台运行原则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为保障PU平台科学、有序、高效运行，发挥其在第二课堂素质教</w:t>
      </w:r>
      <w:r>
        <w:rPr>
          <w:rFonts w:hint="eastAsia" w:ascii="宋体" w:hAnsi="宋体" w:eastAsia="宋体" w:cs="宋体"/>
          <w:sz w:val="24"/>
          <w:szCs w:val="24"/>
        </w:rPr>
        <w:t>育实践中的辅助管理作用，所有用户须遵循以下三大基本原则：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归口管理原则发起活动、个人申请和学时发放的审核遵循归口管理原则，谁主办谁主管谁审核。发起活动和提交个人学时申请时，须遵循此原则，选择归口的部门和人员审核。归口部门对活动界定、学时数量、审核结果等负责。特殊情况下，如参与活动的学生需所在院（系）确认的，由院</w:t>
      </w:r>
      <w:r>
        <w:rPr>
          <w:rFonts w:hint="eastAsia" w:ascii="宋体" w:hAnsi="宋体" w:eastAsia="宋体" w:cs="宋体"/>
          <w:sz w:val="24"/>
          <w:szCs w:val="24"/>
        </w:rPr>
        <w:t>（系）负责相关工作。</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2、时效时限原则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（1）发起活动时间较之活动开展时间原则上须至少提前</w:t>
      </w:r>
      <w:r>
        <w:rPr>
          <w:rFonts w:hint="eastAsia" w:ascii="宋体" w:hAnsi="宋体" w:eastAsia="宋体" w:cs="宋体"/>
          <w:sz w:val="24"/>
          <w:szCs w:val="24"/>
        </w:rPr>
        <w:t>5个工作日，审批人须于2个工作日内审核完毕。</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（2）活动完结审核须于发起人提交完结资料后的</w:t>
      </w:r>
      <w:r>
        <w:rPr>
          <w:rFonts w:hint="eastAsia" w:ascii="宋体" w:hAnsi="宋体" w:eastAsia="宋体" w:cs="宋体"/>
          <w:sz w:val="24"/>
          <w:szCs w:val="24"/>
        </w:rPr>
        <w:t>2个工作日内完成。</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（3）个人申请学时的，审核人须于申请提交后的</w:t>
      </w:r>
      <w:r>
        <w:rPr>
          <w:rFonts w:hint="eastAsia" w:ascii="宋体" w:hAnsi="宋体" w:eastAsia="宋体" w:cs="宋体"/>
          <w:sz w:val="24"/>
          <w:szCs w:val="24"/>
        </w:rPr>
        <w:t>3个工作日内审核完毕。</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（4）需要个人申请或批量导入学时的，须在取得证书或工作（活</w:t>
      </w:r>
      <w:r>
        <w:rPr>
          <w:rFonts w:hint="eastAsia" w:ascii="宋体" w:hAnsi="宋体" w:eastAsia="宋体" w:cs="宋体"/>
          <w:sz w:val="24"/>
          <w:szCs w:val="24"/>
        </w:rPr>
        <w:t>动）时间结束7个工作日内申请或导入，尽量避免补录。</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（5）评定奖学金前，须对之前的素质教育实践学时进行清算。清</w:t>
      </w:r>
      <w:r>
        <w:rPr>
          <w:rFonts w:hint="eastAsia" w:ascii="宋体" w:hAnsi="宋体" w:eastAsia="宋体" w:cs="宋体"/>
          <w:sz w:val="24"/>
          <w:szCs w:val="24"/>
        </w:rPr>
        <w:t>算期内，发起新的活动该学时暂不发放，只对此前未完成发放的学时（包括未完结的参与学时、未申请的奖励学时等）进行处理。清算期一</w:t>
      </w:r>
      <w:r>
        <w:rPr>
          <w:rFonts w:hint="eastAsia" w:ascii="宋体" w:hAnsi="宋体" w:eastAsia="宋体" w:cs="宋体"/>
          <w:sz w:val="24"/>
          <w:szCs w:val="24"/>
        </w:rPr>
        <w:t>般为每学年第二学期的7月份</w:t>
      </w:r>
      <w:r>
        <w:rPr>
          <w:rFonts w:hint="eastAsia" w:ascii="宋体" w:hAnsi="宋体" w:eastAsia="宋体" w:cs="宋体"/>
          <w:sz w:val="24"/>
          <w:szCs w:val="24"/>
        </w:rPr>
        <w:t>（具体以通知为准），</w:t>
      </w:r>
      <w:r>
        <w:rPr>
          <w:rFonts w:hint="eastAsia" w:ascii="宋体" w:hAnsi="宋体" w:eastAsia="宋体" w:cs="宋体"/>
          <w:sz w:val="24"/>
          <w:szCs w:val="24"/>
        </w:rPr>
        <w:t>到期后即导出学时数据，作为参评奖学金的资格依据。如仍有未完成发放的，仍可继续处理，不影响总学时数的获得，但不作为当次奖学金评定资格依据，已导</w:t>
      </w:r>
      <w:r>
        <w:rPr>
          <w:rFonts w:hint="eastAsia" w:ascii="宋体" w:hAnsi="宋体" w:eastAsia="宋体" w:cs="宋体"/>
          <w:sz w:val="24"/>
          <w:szCs w:val="24"/>
        </w:rPr>
        <w:t>出的学时数据不再修改。逾期一学期以上未录入学时的，原则上视为学生本人自动放弃，不再进行补充认定，若因证书发放时间或其它非本人原因逾期的，方可补充认定。</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3、实事求是原则</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（1）在PU平台中发起活动时应实事求是，活动必须属于第二课堂范畴，具有素质教育实践特征。以下情形不得发起活动，如需使用PU平台进行活动管理的，不得赋予学时：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 MERGEFORMAT </w:instrText>
      </w:r>
      <w:r>
        <w:rPr>
          <w:rFonts w:hint="eastAsia" w:ascii="宋体" w:hAnsi="宋体" w:eastAsia="宋体" w:cs="宋体"/>
          <w:sz w:val="24"/>
          <w:szCs w:val="24"/>
        </w:rPr>
        <w:fldChar w:fldCharType="separate"/>
      </w:r>
      <w:r>
        <w:t>①</w:t>
      </w:r>
      <w:r>
        <w:rPr>
          <w:rFonts w:hint="eastAsia" w:ascii="宋体" w:hAnsi="宋体" w:eastAsia="宋体" w:cs="宋体"/>
          <w:sz w:val="24"/>
          <w:szCs w:val="24"/>
        </w:rPr>
        <w:fldChar w:fldCharType="end"/>
      </w:r>
      <w:r>
        <w:rPr>
          <w:rFonts w:hint="eastAsia" w:ascii="宋体" w:hAnsi="宋体" w:eastAsia="宋体" w:cs="宋体"/>
          <w:sz w:val="24"/>
          <w:szCs w:val="24"/>
        </w:rPr>
        <w:t>各级学生干部、学生组织工作人员的履职行为。如：学生干部、</w:t>
      </w:r>
      <w:r>
        <w:rPr>
          <w:rFonts w:hint="eastAsia" w:ascii="宋体" w:hAnsi="宋体" w:eastAsia="宋体" w:cs="宋体"/>
          <w:sz w:val="24"/>
          <w:szCs w:val="24"/>
        </w:rPr>
        <w:t>学生组织内部会议等。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2 \* GB3 \* MERGEFORMAT </w:instrText>
      </w:r>
      <w:r>
        <w:rPr>
          <w:rFonts w:hint="eastAsia" w:ascii="宋体" w:hAnsi="宋体" w:eastAsia="宋体" w:cs="宋体"/>
          <w:sz w:val="24"/>
          <w:szCs w:val="24"/>
        </w:rPr>
        <w:fldChar w:fldCharType="separate"/>
      </w:r>
      <w:r>
        <w:t>②</w:t>
      </w:r>
      <w:r>
        <w:rPr>
          <w:rFonts w:hint="eastAsia" w:ascii="宋体" w:hAnsi="宋体" w:eastAsia="宋体" w:cs="宋体"/>
          <w:sz w:val="24"/>
          <w:szCs w:val="24"/>
        </w:rPr>
        <w:fldChar w:fldCharType="end"/>
      </w:r>
      <w:r>
        <w:rPr>
          <w:rFonts w:hint="eastAsia" w:ascii="宋体" w:hAnsi="宋体" w:eastAsia="宋体" w:cs="宋体"/>
          <w:sz w:val="24"/>
          <w:szCs w:val="24"/>
        </w:rPr>
        <w:t>班级内部教育管理等日常工作行为。如：班会等。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3 \* GB3 \* MERGEFORMAT </w:instrText>
      </w:r>
      <w:r>
        <w:rPr>
          <w:rFonts w:hint="eastAsia" w:ascii="宋体" w:hAnsi="宋体" w:eastAsia="宋体" w:cs="宋体"/>
          <w:sz w:val="24"/>
          <w:szCs w:val="24"/>
        </w:rPr>
        <w:fldChar w:fldCharType="separate"/>
      </w:r>
      <w:r>
        <w:t>③</w:t>
      </w:r>
      <w:r>
        <w:rPr>
          <w:rFonts w:hint="eastAsia" w:ascii="宋体" w:hAnsi="宋体" w:eastAsia="宋体" w:cs="宋体"/>
          <w:sz w:val="24"/>
          <w:szCs w:val="24"/>
        </w:rPr>
        <w:fldChar w:fldCharType="end"/>
      </w:r>
      <w:r>
        <w:rPr>
          <w:rFonts w:hint="eastAsia" w:ascii="宋体" w:hAnsi="宋体" w:eastAsia="宋体" w:cs="宋体"/>
          <w:sz w:val="24"/>
          <w:szCs w:val="24"/>
        </w:rPr>
        <w:t>参与面、惠及面小的小团体活动。如：班级活动参与人数低于</w:t>
      </w:r>
      <w:r>
        <w:rPr>
          <w:rFonts w:hint="eastAsia" w:ascii="宋体" w:hAnsi="宋体" w:eastAsia="宋体" w:cs="宋体"/>
          <w:sz w:val="24"/>
          <w:szCs w:val="24"/>
        </w:rPr>
        <w:t>60%的、某宿舍集体活动等。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4 \* GB3 \* MERGEFORMAT </w:instrText>
      </w:r>
      <w:r>
        <w:rPr>
          <w:rFonts w:hint="eastAsia" w:ascii="宋体" w:hAnsi="宋体" w:eastAsia="宋体" w:cs="宋体"/>
          <w:sz w:val="24"/>
          <w:szCs w:val="24"/>
        </w:rPr>
        <w:fldChar w:fldCharType="separate"/>
      </w:r>
      <w:r>
        <w:t>④</w:t>
      </w:r>
      <w:r>
        <w:rPr>
          <w:rFonts w:hint="eastAsia" w:ascii="宋体" w:hAnsi="宋体" w:eastAsia="宋体" w:cs="宋体"/>
          <w:sz w:val="24"/>
          <w:szCs w:val="24"/>
        </w:rPr>
        <w:fldChar w:fldCharType="end"/>
      </w:r>
      <w:r>
        <w:rPr>
          <w:rFonts w:hint="eastAsia" w:ascii="宋体" w:hAnsi="宋体" w:eastAsia="宋体" w:cs="宋体"/>
          <w:sz w:val="24"/>
          <w:szCs w:val="24"/>
        </w:rPr>
        <w:t>第一课堂的专业实习、实践等教学延伸活动（如企业参观等）。</w:t>
      </w:r>
      <w:r>
        <w:rPr>
          <w:rFonts w:hint="eastAsia" w:ascii="宋体" w:hAnsi="宋体" w:eastAsia="宋体" w:cs="宋体"/>
          <w:sz w:val="24"/>
          <w:szCs w:val="24"/>
        </w:rPr>
        <w:t>此类活动不易辨识，不得变相包装后发起并赋予学时。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5 \* GB3 \* MERGEFORMAT </w:instrText>
      </w:r>
      <w:r>
        <w:rPr>
          <w:rFonts w:hint="eastAsia" w:ascii="宋体" w:hAnsi="宋体" w:eastAsia="宋体" w:cs="宋体"/>
          <w:sz w:val="24"/>
          <w:szCs w:val="24"/>
        </w:rPr>
        <w:fldChar w:fldCharType="separate"/>
      </w:r>
      <w:r>
        <w:t>⑤</w:t>
      </w:r>
      <w:r>
        <w:rPr>
          <w:rFonts w:hint="eastAsia" w:ascii="宋体" w:hAnsi="宋体" w:eastAsia="宋体" w:cs="宋体"/>
          <w:sz w:val="24"/>
          <w:szCs w:val="24"/>
        </w:rPr>
        <w:fldChar w:fldCharType="end"/>
      </w:r>
      <w:r>
        <w:rPr>
          <w:rFonts w:hint="eastAsia" w:ascii="宋体" w:hAnsi="宋体" w:eastAsia="宋体" w:cs="宋体"/>
          <w:sz w:val="24"/>
          <w:szCs w:val="24"/>
        </w:rPr>
        <w:t>学生社团日常训练、交流等内部活动。面向社团以外学生的活</w:t>
      </w:r>
      <w:r>
        <w:rPr>
          <w:rFonts w:hint="eastAsia" w:ascii="宋体" w:hAnsi="宋体" w:eastAsia="宋体" w:cs="宋体"/>
          <w:sz w:val="24"/>
          <w:szCs w:val="24"/>
        </w:rPr>
        <w:t>动方可发起并赋予学时。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6 \* GB3 \* MERGEFORMAT </w:instrText>
      </w:r>
      <w:r>
        <w:rPr>
          <w:rFonts w:hint="eastAsia" w:ascii="宋体" w:hAnsi="宋体" w:eastAsia="宋体" w:cs="宋体"/>
          <w:sz w:val="24"/>
          <w:szCs w:val="24"/>
        </w:rPr>
        <w:fldChar w:fldCharType="separate"/>
      </w:r>
      <w:r>
        <w:t>⑥</w:t>
      </w:r>
      <w:r>
        <w:rPr>
          <w:rFonts w:hint="eastAsia" w:ascii="宋体" w:hAnsi="宋体" w:eastAsia="宋体" w:cs="宋体"/>
          <w:sz w:val="24"/>
          <w:szCs w:val="24"/>
        </w:rPr>
        <w:fldChar w:fldCharType="end"/>
      </w:r>
      <w:r>
        <w:rPr>
          <w:rFonts w:hint="eastAsia" w:ascii="宋体" w:hAnsi="宋体" w:eastAsia="宋体" w:cs="宋体"/>
          <w:sz w:val="24"/>
          <w:szCs w:val="24"/>
        </w:rPr>
        <w:t>面向全体学生或特定的人数较大的群体且不便于签到签退管理</w:t>
      </w:r>
      <w:r>
        <w:rPr>
          <w:rFonts w:hint="eastAsia" w:ascii="宋体" w:hAnsi="宋体" w:eastAsia="宋体" w:cs="宋体"/>
          <w:sz w:val="24"/>
          <w:szCs w:val="24"/>
        </w:rPr>
        <w:t>的活动，如新生开学典礼等。</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7 \* GB3 \* MERGEFORMAT </w:instrText>
      </w:r>
      <w:r>
        <w:rPr>
          <w:rFonts w:hint="eastAsia" w:ascii="宋体" w:hAnsi="宋体" w:eastAsia="宋体" w:cs="宋体"/>
          <w:sz w:val="24"/>
          <w:szCs w:val="24"/>
        </w:rPr>
        <w:fldChar w:fldCharType="separate"/>
      </w:r>
      <w:r>
        <w:t>⑦</w:t>
      </w:r>
      <w:r>
        <w:rPr>
          <w:rFonts w:hint="eastAsia" w:ascii="宋体" w:hAnsi="宋体" w:eastAsia="宋体" w:cs="宋体"/>
          <w:sz w:val="24"/>
          <w:szCs w:val="24"/>
        </w:rPr>
        <w:fldChar w:fldCharType="end"/>
      </w:r>
      <w:r>
        <w:rPr>
          <w:rFonts w:hint="eastAsia" w:ascii="宋体" w:hAnsi="宋体" w:eastAsia="宋体" w:cs="宋体"/>
          <w:sz w:val="24"/>
          <w:szCs w:val="24"/>
        </w:rPr>
        <w:t>同一次活动，重复发起意图增加学时的。</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8 \* GB3 \* MERGEFORMAT </w:instrText>
      </w:r>
      <w:r>
        <w:rPr>
          <w:rFonts w:hint="eastAsia" w:ascii="宋体" w:hAnsi="宋体" w:eastAsia="宋体" w:cs="宋体"/>
          <w:sz w:val="24"/>
          <w:szCs w:val="24"/>
        </w:rPr>
        <w:fldChar w:fldCharType="separate"/>
      </w:r>
      <w:r>
        <w:t>⑧</w:t>
      </w:r>
      <w:r>
        <w:rPr>
          <w:rFonts w:hint="eastAsia" w:ascii="宋体" w:hAnsi="宋体" w:eastAsia="宋体" w:cs="宋体"/>
          <w:sz w:val="24"/>
          <w:szCs w:val="24"/>
        </w:rPr>
        <w:fldChar w:fldCharType="end"/>
      </w:r>
      <w:r>
        <w:rPr>
          <w:rFonts w:hint="eastAsia" w:ascii="宋体" w:hAnsi="宋体" w:eastAsia="宋体" w:cs="宋体"/>
          <w:sz w:val="24"/>
          <w:szCs w:val="24"/>
        </w:rPr>
        <w:t>包含在培训课程中的实践活动</w:t>
      </w:r>
      <w:r>
        <w:rPr>
          <w:rFonts w:hint="eastAsia" w:ascii="宋体" w:hAnsi="宋体" w:eastAsia="宋体" w:cs="宋体"/>
          <w:sz w:val="24"/>
          <w:szCs w:val="24"/>
        </w:rPr>
        <w:t>（如学干培训中的素质拓展活动）</w:t>
      </w:r>
      <w:r>
        <w:rPr>
          <w:rFonts w:hint="eastAsia" w:ascii="宋体" w:hAnsi="宋体" w:eastAsia="宋体" w:cs="宋体"/>
          <w:sz w:val="24"/>
          <w:szCs w:val="24"/>
        </w:rPr>
        <w:t>，因培训工作已赋予相应学时，不得再通过发起活动赋予学时。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9 \* GB3 \* MERGEFORMAT </w:instrText>
      </w:r>
      <w:r>
        <w:rPr>
          <w:rFonts w:hint="eastAsia" w:ascii="宋体" w:hAnsi="宋体" w:eastAsia="宋体" w:cs="宋体"/>
          <w:sz w:val="24"/>
          <w:szCs w:val="24"/>
        </w:rPr>
        <w:fldChar w:fldCharType="separate"/>
      </w:r>
      <w:r>
        <w:t>⑨</w:t>
      </w:r>
      <w:r>
        <w:rPr>
          <w:rFonts w:hint="eastAsia" w:ascii="宋体" w:hAnsi="宋体" w:eastAsia="宋体" w:cs="宋体"/>
          <w:sz w:val="24"/>
          <w:szCs w:val="24"/>
        </w:rPr>
        <w:fldChar w:fldCharType="end"/>
      </w:r>
      <w:r>
        <w:rPr>
          <w:rFonts w:hint="eastAsia" w:ascii="宋体" w:hAnsi="宋体" w:eastAsia="宋体" w:cs="宋体"/>
          <w:sz w:val="24"/>
          <w:szCs w:val="24"/>
        </w:rPr>
        <w:t>班级活动或其他指定人群的符合条件的第二课堂活动，不得允</w:t>
      </w:r>
      <w:r>
        <w:rPr>
          <w:rFonts w:hint="eastAsia" w:ascii="宋体" w:hAnsi="宋体" w:eastAsia="宋体" w:cs="宋体"/>
          <w:sz w:val="24"/>
          <w:szCs w:val="24"/>
        </w:rPr>
        <w:t>许其他人员加入代刷学时，如发现此类情况，学院后台直接取消本次活动。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10 \* GB3 \* MERGEFORMAT </w:instrText>
      </w:r>
      <w:r>
        <w:rPr>
          <w:rFonts w:hint="eastAsia" w:ascii="宋体" w:hAnsi="宋体" w:eastAsia="宋体" w:cs="宋体"/>
          <w:sz w:val="24"/>
          <w:szCs w:val="24"/>
        </w:rPr>
        <w:fldChar w:fldCharType="separate"/>
      </w:r>
      <w:r>
        <w:t>⑩</w:t>
      </w:r>
      <w:r>
        <w:rPr>
          <w:rFonts w:hint="eastAsia" w:ascii="宋体" w:hAnsi="宋体" w:eastAsia="宋体" w:cs="宋体"/>
          <w:sz w:val="24"/>
          <w:szCs w:val="24"/>
        </w:rPr>
        <w:fldChar w:fldCharType="end"/>
      </w:r>
      <w:r>
        <w:rPr>
          <w:rFonts w:hint="eastAsia" w:ascii="宋体" w:hAnsi="宋体" w:eastAsia="宋体" w:cs="宋体"/>
          <w:sz w:val="24"/>
          <w:szCs w:val="24"/>
        </w:rPr>
        <w:t>其他不属于第二课堂活动的情形（如班级聚餐等）或不具备发</w:t>
      </w:r>
      <w:r>
        <w:rPr>
          <w:rFonts w:hint="eastAsia" w:ascii="宋体" w:hAnsi="宋体" w:eastAsia="宋体" w:cs="宋体"/>
          <w:sz w:val="24"/>
          <w:szCs w:val="24"/>
        </w:rPr>
        <w:t>起条件的活动。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以上情形，一经发现，审核人员应予以驳回。</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（2）个人申请学时必须实事求是、精准真实，不得弄虚作假套取学时，一旦核实存在弄虚作假行为（如伪造证书等），驳回有关申请、</w:t>
      </w:r>
      <w:r>
        <w:rPr>
          <w:rFonts w:hint="eastAsia" w:ascii="宋体" w:hAnsi="宋体" w:eastAsia="宋体" w:cs="宋体"/>
          <w:sz w:val="24"/>
          <w:szCs w:val="24"/>
        </w:rPr>
        <w:t>核减有关学时，并视情节予以警告、罚减学时、暂封账号等处理。</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PU平台发起活动操作流程简图</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一、班级活动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班干部发起</w:t>
      </w:r>
      <w:r>
        <w:rPr>
          <w:rFonts w:hint="default" w:ascii="Arial" w:hAnsi="Arial" w:eastAsia="宋体" w:cs="Arial"/>
          <w:sz w:val="24"/>
          <w:szCs w:val="24"/>
        </w:rPr>
        <w:t>→</w:t>
      </w:r>
      <w:r>
        <w:rPr>
          <w:rFonts w:hint="eastAsia" w:ascii="宋体" w:hAnsi="宋体" w:eastAsia="宋体" w:cs="宋体"/>
          <w:sz w:val="24"/>
          <w:szCs w:val="24"/>
        </w:rPr>
        <w:t>选择学院团委书记审批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二、院级学生组织（学生会等）活动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学生干部发起</w:t>
      </w:r>
      <w:r>
        <w:rPr>
          <w:rFonts w:hint="default" w:ascii="Arial" w:hAnsi="Arial" w:eastAsia="宋体" w:cs="Arial"/>
          <w:sz w:val="24"/>
          <w:szCs w:val="24"/>
        </w:rPr>
        <w:t>→</w:t>
      </w:r>
      <w:r>
        <w:rPr>
          <w:rFonts w:hint="eastAsia" w:ascii="宋体" w:hAnsi="宋体" w:eastAsia="宋体" w:cs="宋体"/>
          <w:sz w:val="24"/>
          <w:szCs w:val="24"/>
        </w:rPr>
        <w:t>选择学院团委书记审批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三、校级学生组织（学生会、社团等）活动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学生干部发起</w:t>
      </w:r>
      <w:r>
        <w:rPr>
          <w:rFonts w:hint="default" w:ascii="Arial" w:hAnsi="Arial" w:eastAsia="宋体" w:cs="Arial"/>
          <w:sz w:val="24"/>
          <w:szCs w:val="24"/>
        </w:rPr>
        <w:t>→</w:t>
      </w:r>
      <w:r>
        <w:rPr>
          <w:rFonts w:hint="eastAsia" w:ascii="宋体" w:hAnsi="宋体" w:eastAsia="宋体" w:cs="宋体"/>
          <w:sz w:val="24"/>
          <w:szCs w:val="24"/>
        </w:rPr>
        <w:t>选择组织指导老师审批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四、其他职能部门活动</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活动指定负责人发起</w:t>
      </w:r>
      <w:r>
        <w:rPr>
          <w:rFonts w:hint="default" w:ascii="Arial" w:hAnsi="Arial" w:eastAsia="宋体" w:cs="Arial"/>
          <w:sz w:val="24"/>
          <w:szCs w:val="24"/>
        </w:rPr>
        <w:t>→</w:t>
      </w:r>
      <w:r>
        <w:rPr>
          <w:rFonts w:hint="eastAsia" w:ascii="宋体" w:hAnsi="宋体" w:eastAsia="宋体" w:cs="宋体"/>
          <w:sz w:val="24"/>
          <w:szCs w:val="24"/>
        </w:rPr>
        <w:t>选择分管负责人审批</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五、发起活动完结流程</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活动发起人提交完结资料</w:t>
      </w:r>
      <w:r>
        <w:rPr>
          <w:rFonts w:hint="default" w:ascii="Arial" w:hAnsi="Arial" w:eastAsia="宋体" w:cs="Arial"/>
          <w:sz w:val="24"/>
          <w:szCs w:val="24"/>
        </w:rPr>
        <w:t>→</w:t>
      </w:r>
      <w:r>
        <w:rPr>
          <w:rFonts w:hint="eastAsia" w:ascii="宋体" w:hAnsi="宋体" w:eastAsia="宋体" w:cs="宋体"/>
          <w:sz w:val="24"/>
          <w:szCs w:val="24"/>
        </w:rPr>
        <w:t>选择终审</w:t>
      </w:r>
      <w:r>
        <w:rPr>
          <w:rFonts w:hint="default" w:ascii="Arial" w:hAnsi="Arial" w:eastAsia="宋体" w:cs="Arial"/>
          <w:sz w:val="24"/>
          <w:szCs w:val="24"/>
        </w:rPr>
        <w:t>→</w:t>
      </w:r>
      <w:r>
        <w:rPr>
          <w:rFonts w:hint="eastAsia" w:ascii="宋体" w:hAnsi="宋体" w:eastAsia="宋体" w:cs="宋体"/>
          <w:sz w:val="24"/>
          <w:szCs w:val="24"/>
        </w:rPr>
        <w:t>审核通过发放学时</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六、发起活动标题规范格式</w:t>
      </w:r>
    </w:p>
    <w:p>
      <w:pPr>
        <w:keepNext w:val="0"/>
        <w:keepLines w:val="0"/>
        <w:pageBreakBefore w:val="0"/>
        <w:widowControl w:val="0"/>
        <w:kinsoku/>
        <w:wordWrap/>
        <w:overflowPunct/>
        <w:topLinePunct w:val="0"/>
        <w:autoSpaceDE/>
        <w:autoSpaceDN/>
        <w:bidi w:val="0"/>
        <w:adjustRightInd/>
        <w:snapToGrid/>
        <w:spacing w:before="54" w:line="360" w:lineRule="auto"/>
        <w:ind w:left="100" w:right="112"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【发起单位名称全称（如院系、班级、社团等）】＋活</w:t>
      </w:r>
      <w:r>
        <w:rPr>
          <w:rFonts w:hint="eastAsia" w:ascii="宋体" w:hAnsi="宋体" w:eastAsia="宋体" w:cs="宋体"/>
          <w:spacing w:val="-3"/>
          <w:w w:val="100"/>
          <w:sz w:val="24"/>
          <w:szCs w:val="24"/>
        </w:rPr>
        <w:t>动</w:t>
      </w:r>
      <w:r>
        <w:rPr>
          <w:rFonts w:hint="eastAsia" w:ascii="宋体" w:hAnsi="宋体" w:eastAsia="宋体" w:cs="宋体"/>
          <w:w w:val="100"/>
          <w:sz w:val="24"/>
          <w:szCs w:val="24"/>
        </w:rPr>
        <w:t>名称</w:t>
      </w:r>
    </w:p>
    <w:sectPr>
      <w:footerReference r:id="rId5" w:type="default"/>
      <w:pgSz w:w="11910" w:h="16840"/>
      <w:pgMar w:top="1580" w:right="1680" w:bottom="1440" w:left="1680" w:header="0" w:footer="124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ExtB">
    <w:panose1 w:val="02020500000000000000"/>
    <w:charset w:val="88"/>
    <w:family w:val="roman"/>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86"/>
    <w:family w:val="auto"/>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503277568" behindDoc="1" locked="0" layoutInCell="1" allowOverlap="1">
              <wp:simplePos x="0" y="0"/>
              <wp:positionH relativeFrom="page">
                <wp:posOffset>3785235</wp:posOffset>
              </wp:positionH>
              <wp:positionV relativeFrom="page">
                <wp:posOffset>9761220</wp:posOffset>
              </wp:positionV>
              <wp:extent cx="173355"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73355" cy="139700"/>
                      </a:xfrm>
                      <a:prstGeom prst="rect">
                        <a:avLst/>
                      </a:prstGeom>
                      <a:noFill/>
                      <a:ln w="9525">
                        <a:noFill/>
                      </a:ln>
                    </wps:spPr>
                    <wps:txbx>
                      <w:txbxContent>
                        <w:p>
                          <w:pPr>
                            <w:spacing w:before="0" w:line="202" w:lineRule="exact"/>
                            <w:ind w:left="40"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14</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8.05pt;margin-top:768.6pt;height:11pt;width:13.65pt;mso-position-horizontal-relative:page;mso-position-vertical-relative:page;z-index:-38912;mso-width-relative:page;mso-height-relative:page;" filled="f" stroked="f" coordsize="21600,21600" o:gfxdata="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7CattsAAAAN&#10;AQAADwAAAAAAAAABACAAAAAiAAAAZHJzL2Rvd25yZXYueG1sUEsBAhQAFAAAAAgAh07iQOV/o2Gn&#10;AQAALAMAAA4AAAAAAAAAAQAgAAAAKgEAAGRycy9lMm9Eb2MueG1sUEsFBgAAAAAGAAYAWQEAAEMF&#10;AAAAAA==&#10;">
              <v:fill on="f" focussize="0,0"/>
              <v:stroke on="f"/>
              <v:imagedata o:title=""/>
              <o:lock v:ext="edit" aspectratio="f"/>
              <v:textbox inset="0mm,0mm,0mm,0mm">
                <w:txbxContent>
                  <w:p>
                    <w:pPr>
                      <w:spacing w:before="0" w:line="202" w:lineRule="exact"/>
                      <w:ind w:left="40"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503277568" behindDoc="1" locked="0" layoutInCell="1" allowOverlap="1">
              <wp:simplePos x="0" y="0"/>
              <wp:positionH relativeFrom="page">
                <wp:posOffset>3785235</wp:posOffset>
              </wp:positionH>
              <wp:positionV relativeFrom="page">
                <wp:posOffset>9761220</wp:posOffset>
              </wp:positionV>
              <wp:extent cx="173355" cy="1397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73355" cy="139700"/>
                      </a:xfrm>
                      <a:prstGeom prst="rect">
                        <a:avLst/>
                      </a:prstGeom>
                      <a:noFill/>
                      <a:ln w="9525">
                        <a:noFill/>
                      </a:ln>
                    </wps:spPr>
                    <wps:txbx>
                      <w:txbxContent>
                        <w:p>
                          <w:pPr>
                            <w:spacing w:before="0" w:line="202" w:lineRule="exact"/>
                            <w:ind w:left="40"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22</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8.05pt;margin-top:768.6pt;height:11pt;width:13.65pt;mso-position-horizontal-relative:page;mso-position-vertical-relative:page;z-index:-38912;mso-width-relative:page;mso-height-relative:page;" filled="f" stroked="f" coordsize="21600,21600" o:gfxdata="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LsJq22wAAAA0B&#10;AAAPAAAAAAAAAAEAIAAAACIAAABkcnMvZG93bnJldi54bWxQSwECFAAUAAAACACHTuJA0QdNvaYB&#10;AAAsAwAADgAAAAAAAAABACAAAAAqAQAAZHJzL2Uyb0RvYy54bWxQSwUGAAAAAAYABgBZAQAAQgUA&#10;AAAA&#10;">
              <v:fill on="f" focussize="0,0"/>
              <v:stroke on="f"/>
              <v:imagedata o:title=""/>
              <o:lock v:ext="edit" aspectratio="f"/>
              <v:textbox inset="0mm,0mm,0mm,0mm">
                <w:txbxContent>
                  <w:p>
                    <w:pPr>
                      <w:spacing w:before="0" w:line="202" w:lineRule="exact"/>
                      <w:ind w:left="40"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503277568" behindDoc="1" locked="0" layoutInCell="1" allowOverlap="1">
              <wp:simplePos x="0" y="0"/>
              <wp:positionH relativeFrom="page">
                <wp:posOffset>3695065</wp:posOffset>
              </wp:positionH>
              <wp:positionV relativeFrom="page">
                <wp:posOffset>9761220</wp:posOffset>
              </wp:positionV>
              <wp:extent cx="262890" cy="1397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262890" cy="139700"/>
                      </a:xfrm>
                      <a:prstGeom prst="rect">
                        <a:avLst/>
                      </a:prstGeom>
                      <a:noFill/>
                      <a:ln w="9525">
                        <a:noFill/>
                      </a:ln>
                    </wps:spPr>
                    <wps:txbx>
                      <w:txbxContent>
                        <w:p>
                          <w:pPr>
                            <w:spacing w:before="0" w:line="202" w:lineRule="exact"/>
                            <w:ind w:left="181"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34</w:t>
                          </w:r>
                          <w:r>
                            <w:fldChar w:fldCharType="end"/>
                          </w:r>
                        </w:p>
                      </w:txbxContent>
                    </wps:txbx>
                    <wps:bodyPr lIns="0" tIns="0" rIns="0" bIns="0" upright="1"/>
                  </wps:wsp>
                </a:graphicData>
              </a:graphic>
            </wp:anchor>
          </w:drawing>
        </mc:Choice>
        <mc:Fallback>
          <w:pict>
            <v:shape id="文本框 14" o:spid="_x0000_s1026" o:spt="202" type="#_x0000_t202" style="position:absolute;left:0pt;margin-left:290.95pt;margin-top:768.6pt;height:11pt;width:20.7pt;mso-position-horizontal-relative:page;mso-position-vertical-relative:page;z-index:-38912;mso-width-relative:page;mso-height-relative:page;" filled="f" stroked="f" coordsize="21600,21600" o:gfxdata="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0BWezbAAAA&#10;DQEAAA8AAAAAAAAAAQAgAAAAIgAAAGRycy9kb3ducmV2LnhtbFBLAQIUABQAAAAIAIdO4kDSocwF&#10;qAEAAC0DAAAOAAAAAAAAAAEAIAAAACoBAABkcnMvZTJvRG9jLnhtbFBLBQYAAAAABgAGAFkBAABE&#10;BQAAAAA=&#10;">
              <v:fill on="f" focussize="0,0"/>
              <v:stroke on="f"/>
              <v:imagedata o:title=""/>
              <o:lock v:ext="edit" aspectratio="f"/>
              <v:textbox inset="0mm,0mm,0mm,0mm">
                <w:txbxContent>
                  <w:p>
                    <w:pPr>
                      <w:spacing w:before="0" w:line="202" w:lineRule="exact"/>
                      <w:ind w:left="181" w:right="0" w:firstLine="0"/>
                      <w:jc w:val="left"/>
                      <w:rPr>
                        <w:rFonts w:hint="default" w:ascii="等线" w:hAnsi="等线" w:eastAsia="等线" w:cs="等线"/>
                        <w:sz w:val="18"/>
                        <w:szCs w:val="18"/>
                      </w:rPr>
                    </w:pPr>
                    <w:r>
                      <w:fldChar w:fldCharType="begin"/>
                    </w:r>
                    <w:r>
                      <w:rPr>
                        <w:rFonts w:ascii="等线"/>
                        <w:sz w:val="18"/>
                      </w:rPr>
                      <w:instrText xml:space="preserve"> PAGE </w:instrText>
                    </w:r>
                    <w:r>
                      <w:fldChar w:fldCharType="separate"/>
                    </w:r>
                    <w:r>
                      <w:t>34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16B43"/>
    <w:rsid w:val="74AB66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1012"/>
      <w:outlineLvl w:val="1"/>
    </w:pPr>
    <w:rPr>
      <w:rFonts w:ascii="Microsoft JhengHei" w:hAnsi="Microsoft JhengHei" w:eastAsia="Microsoft JhengHei"/>
      <w:b/>
      <w:bCs/>
      <w:sz w:val="36"/>
      <w:szCs w:val="36"/>
    </w:rPr>
  </w:style>
  <w:style w:type="paragraph" w:styleId="3">
    <w:name w:val="heading 2"/>
    <w:basedOn w:val="1"/>
    <w:next w:val="1"/>
    <w:qFormat/>
    <w:uiPriority w:val="1"/>
    <w:pPr>
      <w:ind w:left="100"/>
      <w:outlineLvl w:val="2"/>
    </w:pPr>
    <w:rPr>
      <w:rFonts w:ascii="Microsoft JhengHei" w:hAnsi="Microsoft JhengHei" w:eastAsia="Microsoft JhengHei"/>
      <w:b/>
      <w:bCs/>
      <w:sz w:val="32"/>
      <w:szCs w:val="32"/>
    </w:rPr>
  </w:style>
  <w:style w:type="paragraph" w:styleId="4">
    <w:name w:val="heading 3"/>
    <w:basedOn w:val="1"/>
    <w:next w:val="1"/>
    <w:qFormat/>
    <w:uiPriority w:val="1"/>
    <w:pPr>
      <w:spacing w:before="48"/>
      <w:ind w:left="100"/>
      <w:outlineLvl w:val="3"/>
    </w:pPr>
    <w:rPr>
      <w:rFonts w:ascii="宋体" w:hAnsi="宋体" w:eastAsia="宋体"/>
      <w:sz w:val="32"/>
      <w:szCs w:val="32"/>
    </w:rPr>
  </w:style>
  <w:style w:type="paragraph" w:styleId="5">
    <w:name w:val="heading 4"/>
    <w:basedOn w:val="1"/>
    <w:next w:val="1"/>
    <w:qFormat/>
    <w:uiPriority w:val="1"/>
    <w:pPr>
      <w:ind w:left="100"/>
      <w:outlineLvl w:val="4"/>
    </w:pPr>
    <w:rPr>
      <w:rFonts w:ascii="Microsoft JhengHei" w:hAnsi="Microsoft JhengHei" w:eastAsia="Microsoft JhengHei"/>
      <w:b/>
      <w:bCs/>
      <w:sz w:val="30"/>
      <w:szCs w:val="30"/>
    </w:rPr>
  </w:style>
  <w:style w:type="character" w:default="1" w:styleId="7">
    <w:name w:val="Default Paragraph Font"/>
    <w:semiHidden/>
    <w:unhideWhenUsed/>
    <w:uiPriority w:val="1"/>
  </w:style>
  <w:style w:type="table" w:default="1" w:styleId="8">
    <w:name w:val="Normal Table"/>
    <w:semiHidden/>
    <w:uiPriority w:val="0"/>
    <w:tblPr>
      <w:tblLayout w:type="fixed"/>
      <w:tblCellMar>
        <w:top w:w="0" w:type="dxa"/>
        <w:left w:w="108" w:type="dxa"/>
        <w:bottom w:w="0" w:type="dxa"/>
        <w:right w:w="108" w:type="dxa"/>
      </w:tblCellMar>
    </w:tblPr>
  </w:style>
  <w:style w:type="paragraph" w:styleId="6">
    <w:name w:val="Body Text"/>
    <w:basedOn w:val="1"/>
    <w:qFormat/>
    <w:uiPriority w:val="1"/>
    <w:pPr>
      <w:ind w:left="100"/>
    </w:pPr>
    <w:rPr>
      <w:rFonts w:ascii="宋体" w:hAnsi="宋体" w:eastAsia="宋体"/>
      <w:sz w:val="24"/>
      <w:szCs w:val="24"/>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23</TotalTime>
  <ScaleCrop>false</ScaleCrop>
  <LinksUpToDate>false</LinksUpToDate>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2018-09-11T22:30:00Z</dcterms:created>
  <dc:creator>魏世学</dc:creator>
  <cp:lastModifiedBy>王四毛</cp:lastModifiedBy>
  <dcterms:modified xsi:type="dcterms:W3CDTF">2018-09-11T15:51:03Z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2013</vt:lpwstr>
  </property>
  <property fmtid="{D5CDD505-2E9C-101B-9397-08002B2CF9AE}" pid="4" name="LastSaved">
    <vt:filetime>2018-09-11T00:00:00Z</vt:filetime>
  </property>
  <property fmtid="{D5CDD505-2E9C-101B-9397-08002B2CF9AE}" pid="5" name="KSOProductBuildVer">
    <vt:lpwstr>2052-10.1.0.7469</vt:lpwstr>
  </property>
</Properties>
</file>